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104FB5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7F7B5D">
        <w:rPr>
          <w:rFonts w:hint="eastAsia"/>
          <w:bCs/>
          <w:noProof w:val="0"/>
          <w:sz w:val="24"/>
          <w:szCs w:val="24"/>
        </w:rPr>
        <w:t>R</w:t>
      </w:r>
      <w:r w:rsidRPr="007F7B5D">
        <w:rPr>
          <w:bCs/>
          <w:noProof w:val="0"/>
          <w:sz w:val="24"/>
          <w:szCs w:val="24"/>
        </w:rPr>
        <w:t>2</w:t>
      </w:r>
      <w:r w:rsidRPr="007F7B5D">
        <w:rPr>
          <w:rFonts w:hint="eastAsia"/>
          <w:bCs/>
          <w:noProof w:val="0"/>
          <w:sz w:val="24"/>
          <w:szCs w:val="24"/>
        </w:rPr>
        <w:t>-</w:t>
      </w:r>
      <w:r w:rsidR="009376CD" w:rsidRPr="007F7B5D">
        <w:rPr>
          <w:bCs/>
          <w:noProof w:val="0"/>
          <w:sz w:val="24"/>
          <w:szCs w:val="24"/>
        </w:rPr>
        <w:t>2</w:t>
      </w:r>
      <w:r w:rsidR="005C7CD5" w:rsidRPr="007F7B5D">
        <w:rPr>
          <w:bCs/>
          <w:noProof w:val="0"/>
          <w:sz w:val="24"/>
          <w:szCs w:val="24"/>
        </w:rPr>
        <w:t>2</w:t>
      </w:r>
      <w:r w:rsidR="00C7593B" w:rsidRPr="007F7B5D">
        <w:rPr>
          <w:bCs/>
          <w:noProof w:val="0"/>
          <w:sz w:val="24"/>
          <w:szCs w:val="24"/>
        </w:rPr>
        <w:t>1226</w:t>
      </w:r>
      <w:r w:rsidR="00C55A12" w:rsidRPr="007F7B5D">
        <w:rPr>
          <w:bCs/>
          <w:noProof w:val="0"/>
          <w:sz w:val="24"/>
          <w:szCs w:val="24"/>
        </w:rPr>
        <w:t>0</w:t>
      </w:r>
    </w:p>
    <w:p w14:paraId="11776FA6" w14:textId="2A2CEADF"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72A824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593B">
        <w:rPr>
          <w:rFonts w:cs="Arial"/>
          <w:b/>
          <w:bCs/>
          <w:sz w:val="24"/>
          <w:lang w:eastAsia="ja-JP"/>
        </w:rPr>
        <w:t>8.7.4.1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83345D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61AF">
        <w:rPr>
          <w:rFonts w:ascii="Arial" w:hAnsi="Arial" w:cs="Arial"/>
          <w:b/>
          <w:bCs/>
          <w:sz w:val="24"/>
          <w:szCs w:val="24"/>
        </w:rPr>
        <w:t>Cell Reselection Enhancements</w:t>
      </w:r>
      <w:r w:rsidR="002C42B0">
        <w:rPr>
          <w:rFonts w:ascii="Arial" w:hAnsi="Arial" w:cs="Arial"/>
          <w:b/>
          <w:bCs/>
          <w:sz w:val="24"/>
          <w:szCs w:val="24"/>
        </w:rPr>
        <w:t xml:space="preserve"> in Rel-18</w:t>
      </w:r>
    </w:p>
    <w:p w14:paraId="25F387E8" w14:textId="6A18B3C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C42B0">
        <w:rPr>
          <w:rFonts w:ascii="Arial" w:hAnsi="Arial" w:cs="Arial"/>
          <w:b/>
          <w:bCs/>
          <w:sz w:val="24"/>
        </w:rPr>
        <w:t>NR_NTN_enh</w:t>
      </w:r>
      <w:proofErr w:type="spellEnd"/>
      <w:r w:rsidR="002C42B0">
        <w:rPr>
          <w:rFonts w:ascii="Arial" w:hAnsi="Arial" w:cs="Arial"/>
          <w:b/>
          <w:bCs/>
          <w:sz w:val="24"/>
        </w:rPr>
        <w:t xml:space="preserve"> –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F57C8F" w14:textId="77777777" w:rsidR="002C42B0" w:rsidRDefault="002C42B0" w:rsidP="002C42B0">
      <w:pPr>
        <w:jc w:val="both"/>
      </w:pPr>
      <w:r>
        <w:t xml:space="preserve">The following WI objective has been agreed for Rel-18 NTN WI </w:t>
      </w:r>
      <w:r>
        <w:rPr>
          <w:rFonts w:cs="Arial"/>
        </w:rPr>
        <w:fldChar w:fldCharType="begin"/>
      </w:r>
      <w:r>
        <w:rPr>
          <w:rFonts w:cs="Arial"/>
        </w:rPr>
        <w:instrText xml:space="preserve"> REF _Ref109128637 \r \h  \* MERGEFORMAT </w:instrText>
      </w:r>
      <w:r>
        <w:rPr>
          <w:rFonts w:cs="Arial"/>
        </w:rPr>
      </w:r>
      <w:r>
        <w:rPr>
          <w:rFonts w:cs="Arial"/>
        </w:rPr>
        <w:fldChar w:fldCharType="separate"/>
      </w:r>
      <w:r>
        <w:rPr>
          <w:rFonts w:cs="Arial"/>
        </w:rPr>
        <w:t>[1]</w:t>
      </w:r>
      <w:r>
        <w:rPr>
          <w:rFonts w:cs="Arial"/>
        </w:rPr>
        <w:fldChar w:fldCharType="end"/>
      </w:r>
      <w:r>
        <w:t>:</w:t>
      </w:r>
    </w:p>
    <w:tbl>
      <w:tblPr>
        <w:tblStyle w:val="TableGrid"/>
        <w:tblW w:w="0" w:type="auto"/>
        <w:tblInd w:w="0" w:type="dxa"/>
        <w:tblLook w:val="04A0" w:firstRow="1" w:lastRow="0" w:firstColumn="1" w:lastColumn="0" w:noHBand="0" w:noVBand="1"/>
      </w:tblPr>
      <w:tblGrid>
        <w:gridCol w:w="9631"/>
      </w:tblGrid>
      <w:tr w:rsidR="002C42B0" w14:paraId="47ED83DE" w14:textId="77777777" w:rsidTr="002C42B0">
        <w:tc>
          <w:tcPr>
            <w:tcW w:w="9631" w:type="dxa"/>
            <w:tcBorders>
              <w:top w:val="single" w:sz="4" w:space="0" w:color="auto"/>
              <w:left w:val="single" w:sz="4" w:space="0" w:color="auto"/>
              <w:bottom w:val="single" w:sz="4" w:space="0" w:color="auto"/>
              <w:right w:val="single" w:sz="4" w:space="0" w:color="auto"/>
            </w:tcBorders>
            <w:hideMark/>
          </w:tcPr>
          <w:p w14:paraId="17B85238" w14:textId="77777777" w:rsidR="002C42B0" w:rsidRDefault="002C42B0">
            <w:pPr>
              <w:jc w:val="both"/>
              <w:rPr>
                <w:rFonts w:eastAsia="Calibri"/>
                <w:lang w:val="en-US" w:eastAsia="en-GB"/>
              </w:rPr>
            </w:pPr>
            <w:r>
              <w:rPr>
                <w:rFonts w:eastAsia="Calibri"/>
                <w:lang w:val="en-US" w:eastAsia="en-GB"/>
              </w:rPr>
              <w:t>4.1.4</w:t>
            </w:r>
            <w:r>
              <w:rPr>
                <w:lang w:val="en-US" w:eastAsia="en-GB"/>
              </w:rPr>
              <w:tab/>
            </w:r>
            <w:r>
              <w:rPr>
                <w:rFonts w:eastAsia="Calibri"/>
                <w:lang w:val="en-US" w:eastAsia="en-GB"/>
              </w:rPr>
              <w:t>NTN-TN and NTN-NTN mobility and service continuity enhancements</w:t>
            </w:r>
          </w:p>
          <w:p w14:paraId="1536E0C6" w14:textId="77777777" w:rsidR="002C42B0" w:rsidRDefault="002C42B0">
            <w:pPr>
              <w:jc w:val="both"/>
              <w:rPr>
                <w:rFonts w:eastAsia="Calibri"/>
                <w:lang w:val="en-US" w:eastAsia="en-GB"/>
              </w:rPr>
            </w:pPr>
            <w:r>
              <w:rPr>
                <w:rFonts w:eastAsia="Calibri"/>
                <w:lang w:val="en-US" w:eastAsia="en-GB"/>
              </w:rPr>
              <w:t>This work considers existing methods from NR TN as well as outcome of Rel-17 NR NTN WI outcome as baseline for NTN-TN mobility.</w:t>
            </w:r>
          </w:p>
          <w:p w14:paraId="7559C8C5" w14:textId="77777777" w:rsidR="002C42B0" w:rsidRDefault="002C42B0">
            <w:pPr>
              <w:jc w:val="both"/>
              <w:rPr>
                <w:rFonts w:eastAsia="Calibri"/>
                <w:lang w:val="en-US" w:eastAsia="en-GB"/>
              </w:rPr>
            </w:pPr>
            <w:r>
              <w:rPr>
                <w:rFonts w:eastAsia="Calibri"/>
                <w:lang w:val="en-US" w:eastAsia="en-GB"/>
              </w:rPr>
              <w:t xml:space="preserve"> Specify NTN-TN and NTN-NTN measurement/mobility and service continuity enhancements [RAN2,RAN3,RAN4]</w:t>
            </w:r>
          </w:p>
          <w:p w14:paraId="10781A4A" w14:textId="77777777" w:rsidR="002C42B0" w:rsidRDefault="002C42B0" w:rsidP="002C42B0">
            <w:pPr>
              <w:pStyle w:val="ListParagraph"/>
              <w:numPr>
                <w:ilvl w:val="1"/>
                <w:numId w:val="16"/>
              </w:numPr>
              <w:jc w:val="both"/>
              <w:rPr>
                <w:lang w:val="en-US" w:eastAsia="en-GB"/>
              </w:rPr>
            </w:pPr>
            <w:r>
              <w:rPr>
                <w:rFonts w:eastAsia="Calibri"/>
                <w:lang w:val="en-US" w:eastAsia="en-GB"/>
              </w:rPr>
              <w:t>For NTN-NTN mobility, specify cell reselection enhancements for earth moving cell, the timing based and location-based cell reselection for quasi-earth fixed cell in Rel-17 can be considered as the starting point. [RAN2, RAN3, RAN4]</w:t>
            </w:r>
          </w:p>
          <w:p w14:paraId="6A9551F0" w14:textId="77777777" w:rsidR="002C42B0" w:rsidRDefault="002C42B0" w:rsidP="002C42B0">
            <w:pPr>
              <w:pStyle w:val="ListParagraph"/>
              <w:numPr>
                <w:ilvl w:val="1"/>
                <w:numId w:val="16"/>
              </w:numPr>
              <w:jc w:val="both"/>
              <w:rPr>
                <w:lang w:val="en-US" w:eastAsia="en-GB"/>
              </w:rPr>
            </w:pPr>
            <w:r>
              <w:rPr>
                <w:rFonts w:eastAsia="Calibri"/>
                <w:lang w:val="en-US" w:eastAsia="en-GB"/>
              </w:rPr>
              <w:t xml:space="preserve">Specify NTN-NTN handover enhancement for RRC_CONNECTED UEs in the quasi-earth-fixed cell and earth-moving cell to reduce the </w:t>
            </w:r>
            <w:proofErr w:type="spellStart"/>
            <w:r>
              <w:rPr>
                <w:rFonts w:eastAsia="Calibri"/>
                <w:lang w:val="en-US" w:eastAsia="en-GB"/>
              </w:rPr>
              <w:t>signalling</w:t>
            </w:r>
            <w:proofErr w:type="spellEnd"/>
            <w:r>
              <w:rPr>
                <w:rFonts w:eastAsia="Calibri"/>
                <w:lang w:val="en-US" w:eastAsia="en-GB"/>
              </w:rPr>
              <w:t xml:space="preserve"> overhead. [RAN2, RAN3]</w:t>
            </w:r>
          </w:p>
          <w:p w14:paraId="7D7541D8" w14:textId="77777777" w:rsidR="002C42B0" w:rsidRDefault="002C42B0" w:rsidP="002C42B0">
            <w:pPr>
              <w:pStyle w:val="ListParagraph"/>
              <w:numPr>
                <w:ilvl w:val="1"/>
                <w:numId w:val="16"/>
              </w:numPr>
              <w:jc w:val="both"/>
              <w:rPr>
                <w:lang w:val="en-US" w:eastAsia="en-GB"/>
              </w:rPr>
            </w:pPr>
            <w:r>
              <w:rPr>
                <w:rFonts w:eastAsia="Calibri"/>
                <w:lang w:val="en-US" w:eastAsia="en-GB"/>
              </w:rPr>
              <w:t>Specify cell reselection enhancements for RRC_IDLE/INACTIVE UEs to reduce UE power consumption (NTN-TN mobility is prioritized). [RAN2, RAN3, RAN4]</w:t>
            </w:r>
          </w:p>
          <w:p w14:paraId="166BFD9F" w14:textId="77777777" w:rsidR="002C42B0" w:rsidRDefault="002C42B0" w:rsidP="002C42B0">
            <w:pPr>
              <w:pStyle w:val="ListParagraph"/>
              <w:numPr>
                <w:ilvl w:val="1"/>
                <w:numId w:val="16"/>
              </w:numPr>
              <w:jc w:val="both"/>
              <w:rPr>
                <w:lang w:eastAsia="en-GB"/>
              </w:rPr>
            </w:pPr>
            <w:r>
              <w:rPr>
                <w:rFonts w:eastAsia="Calibri"/>
                <w:lang w:val="en-US" w:eastAsia="en-GB"/>
              </w:rPr>
              <w:t xml:space="preserve">Study and, if needed, specify enhancement to </w:t>
            </w:r>
            <w:proofErr w:type="spellStart"/>
            <w:r>
              <w:rPr>
                <w:rFonts w:eastAsia="Calibri"/>
                <w:lang w:val="en-US" w:eastAsia="en-GB"/>
              </w:rPr>
              <w:t>Xn</w:t>
            </w:r>
            <w:proofErr w:type="spellEnd"/>
            <w:r>
              <w:rPr>
                <w:rFonts w:eastAsia="Calibri"/>
                <w:lang w:val="en-US" w:eastAsia="en-GB"/>
              </w:rPr>
              <w:t xml:space="preserve">[/NG] </w:t>
            </w:r>
            <w:proofErr w:type="spellStart"/>
            <w:r>
              <w:rPr>
                <w:rFonts w:eastAsia="Calibri"/>
                <w:lang w:val="en-US" w:eastAsia="en-GB"/>
              </w:rPr>
              <w:t>signalling</w:t>
            </w:r>
            <w:proofErr w:type="spellEnd"/>
            <w:r>
              <w:rPr>
                <w:rFonts w:eastAsia="Calibri"/>
                <w:lang w:val="en-US" w:eastAsia="en-GB"/>
              </w:rPr>
              <w:t xml:space="preserve"> to support feeder link switch-over, CHO, e.g. exchange of necessary information between </w:t>
            </w:r>
            <w:proofErr w:type="spellStart"/>
            <w:r>
              <w:rPr>
                <w:rFonts w:eastAsia="Calibri"/>
                <w:lang w:val="en-US" w:eastAsia="en-GB"/>
              </w:rPr>
              <w:t>gNBs</w:t>
            </w:r>
            <w:proofErr w:type="spellEnd"/>
            <w:r>
              <w:rPr>
                <w:rFonts w:eastAsia="Calibri"/>
                <w:lang w:val="en-US" w:eastAsia="en-GB"/>
              </w:rPr>
              <w:t>. [RAN3]</w:t>
            </w:r>
          </w:p>
        </w:tc>
      </w:tr>
    </w:tbl>
    <w:p w14:paraId="57D6EDA8" w14:textId="7E2A54D7" w:rsidR="00287130" w:rsidRDefault="00287130" w:rsidP="009339CB">
      <w:pPr>
        <w:rPr>
          <w:lang w:val="en-US"/>
        </w:rPr>
      </w:pPr>
    </w:p>
    <w:p w14:paraId="3905B471" w14:textId="6355BFEB" w:rsidR="00B635A2" w:rsidRDefault="00B635A2" w:rsidP="009339CB">
      <w:pPr>
        <w:rPr>
          <w:lang w:val="en-US"/>
        </w:rPr>
      </w:pPr>
      <w:r>
        <w:rPr>
          <w:lang w:val="en-US"/>
        </w:rPr>
        <w:t>The following agreements were made at RAN#</w:t>
      </w:r>
      <w:r w:rsidRPr="1AD20E3B">
        <w:rPr>
          <w:lang w:val="en-US"/>
        </w:rPr>
        <w:t>1</w:t>
      </w:r>
      <w:r w:rsidR="7D818244" w:rsidRPr="1AD20E3B">
        <w:rPr>
          <w:lang w:val="en-US"/>
        </w:rPr>
        <w:t>1</w:t>
      </w:r>
      <w:r w:rsidRPr="1AD20E3B">
        <w:rPr>
          <w:lang w:val="en-US"/>
        </w:rPr>
        <w:t>9bis</w:t>
      </w:r>
      <w:r w:rsidR="00C7593B">
        <w:rPr>
          <w:lang w:val="en-US"/>
        </w:rPr>
        <w:t xml:space="preserve"> </w:t>
      </w:r>
      <w:r w:rsidR="00C7593B">
        <w:rPr>
          <w:lang w:val="en-US"/>
        </w:rPr>
        <w:fldChar w:fldCharType="begin"/>
      </w:r>
      <w:r w:rsidR="00C7593B">
        <w:rPr>
          <w:lang w:val="en-US"/>
        </w:rPr>
        <w:instrText xml:space="preserve"> REF _Ref118404673 \r \h </w:instrText>
      </w:r>
      <w:r w:rsidR="00C7593B">
        <w:rPr>
          <w:lang w:val="en-US"/>
        </w:rPr>
      </w:r>
      <w:r w:rsidR="00C7593B">
        <w:rPr>
          <w:lang w:val="en-US"/>
        </w:rPr>
        <w:fldChar w:fldCharType="separate"/>
      </w:r>
      <w:r w:rsidR="00C7593B">
        <w:rPr>
          <w:lang w:val="en-US"/>
        </w:rPr>
        <w:t>[3]</w:t>
      </w:r>
      <w:r w:rsidR="00C7593B">
        <w:rPr>
          <w:lang w:val="en-US"/>
        </w:rPr>
        <w:fldChar w:fldCharType="end"/>
      </w:r>
      <w:r>
        <w:rPr>
          <w:lang w:val="en-US"/>
        </w:rPr>
        <w:t>:</w:t>
      </w:r>
    </w:p>
    <w:tbl>
      <w:tblPr>
        <w:tblStyle w:val="TableGrid"/>
        <w:tblW w:w="0" w:type="auto"/>
        <w:tblInd w:w="0" w:type="dxa"/>
        <w:tblLook w:val="04A0" w:firstRow="1" w:lastRow="0" w:firstColumn="1" w:lastColumn="0" w:noHBand="0" w:noVBand="1"/>
      </w:tblPr>
      <w:tblGrid>
        <w:gridCol w:w="9062"/>
      </w:tblGrid>
      <w:tr w:rsidR="00B635A2" w14:paraId="73F398C6" w14:textId="77777777" w:rsidTr="00A7499D">
        <w:tc>
          <w:tcPr>
            <w:tcW w:w="9062" w:type="dxa"/>
          </w:tcPr>
          <w:p w14:paraId="401C955E" w14:textId="77777777" w:rsidR="00B635A2" w:rsidRPr="00643ABD" w:rsidRDefault="00B635A2" w:rsidP="00A7499D">
            <w:r w:rsidRPr="00643ABD">
              <w:t>Agreements:</w:t>
            </w:r>
          </w:p>
          <w:p w14:paraId="239B047A" w14:textId="6BB08F1B" w:rsidR="00B635A2" w:rsidRPr="00643ABD" w:rsidRDefault="00B635A2" w:rsidP="00A7499D">
            <w:r w:rsidRPr="00643ABD">
              <w:t>1.</w:t>
            </w:r>
            <w:r w:rsidRPr="00643ABD">
              <w:tab/>
              <w:t xml:space="preserve">For NTN-NTN cell reselection with earth moving cell, RAN2 will consider providing parameters of serving cell </w:t>
            </w:r>
            <w:r w:rsidR="00AD2A32" w:rsidRPr="00643ABD">
              <w:t>to UE</w:t>
            </w:r>
            <w:r w:rsidRPr="00643ABD">
              <w:t>, for UE to estimate when the serving cell stops providing coverage at the present UE location (FFS whether this will be an optional UE feature) (this does not exclude any time-based or location-based approach) (other solutions can also be considered)</w:t>
            </w:r>
          </w:p>
          <w:p w14:paraId="0D07812F" w14:textId="77777777" w:rsidR="00B635A2" w:rsidRDefault="00B635A2" w:rsidP="00A7499D">
            <w:r w:rsidRPr="00643ABD">
              <w:t>2.</w:t>
            </w:r>
            <w:r w:rsidRPr="00643ABD">
              <w:tab/>
              <w:t>To enhance NTN-TN cell reselection, means are defined for a UE to differentiate when camping in an area only covered by NTN network (earth-moving or earth-fixed) vs an area where TN network(s) is/are also available.</w:t>
            </w:r>
          </w:p>
        </w:tc>
      </w:tr>
    </w:tbl>
    <w:p w14:paraId="6338E6AE" w14:textId="77777777" w:rsidR="00B635A2" w:rsidRDefault="00B635A2" w:rsidP="00B635A2"/>
    <w:tbl>
      <w:tblPr>
        <w:tblStyle w:val="TableGrid"/>
        <w:tblW w:w="0" w:type="auto"/>
        <w:tblInd w:w="0" w:type="dxa"/>
        <w:tblLook w:val="04A0" w:firstRow="1" w:lastRow="0" w:firstColumn="1" w:lastColumn="0" w:noHBand="0" w:noVBand="1"/>
      </w:tblPr>
      <w:tblGrid>
        <w:gridCol w:w="9062"/>
      </w:tblGrid>
      <w:tr w:rsidR="00B635A2" w14:paraId="548EB7B9" w14:textId="77777777" w:rsidTr="00A7499D">
        <w:tc>
          <w:tcPr>
            <w:tcW w:w="9062" w:type="dxa"/>
          </w:tcPr>
          <w:p w14:paraId="18F679B4" w14:textId="77777777" w:rsidR="00B635A2" w:rsidRPr="00643ABD" w:rsidRDefault="00B635A2" w:rsidP="00A7499D">
            <w:r w:rsidRPr="00643ABD">
              <w:t>Agreements:</w:t>
            </w:r>
          </w:p>
          <w:p w14:paraId="42A7B5B9" w14:textId="77777777" w:rsidR="00B635A2" w:rsidRPr="00643ABD" w:rsidRDefault="00B635A2" w:rsidP="00A7499D">
            <w:r w:rsidRPr="00643ABD">
              <w:t>1.</w:t>
            </w:r>
            <w:r w:rsidRPr="00643ABD">
              <w:tab/>
              <w:t>System information is the basic means for providing necessary parameters to assist UE to estimate when the serving cell stops providing coverage at the present UE location.</w:t>
            </w:r>
          </w:p>
          <w:p w14:paraId="36F3510D" w14:textId="77777777" w:rsidR="00B635A2" w:rsidRPr="00643ABD" w:rsidRDefault="00B635A2" w:rsidP="00A7499D">
            <w:r w:rsidRPr="00643ABD">
              <w:t>2.</w:t>
            </w:r>
            <w:r w:rsidRPr="00643ABD">
              <w:tab/>
              <w:t>UE is not required to perform neighbour cell measurements for TN neighbour cells in an area where there is no TN network coverage.</w:t>
            </w:r>
          </w:p>
          <w:p w14:paraId="2F792735" w14:textId="77777777" w:rsidR="00B635A2" w:rsidRPr="00643ABD" w:rsidRDefault="00B635A2" w:rsidP="00A7499D">
            <w:r w:rsidRPr="00643ABD">
              <w:t>3.</w:t>
            </w:r>
            <w:r w:rsidRPr="00643ABD">
              <w:tab/>
              <w:t>The method of detecting the transmission energy or SIB presence to determine the NTN coverage when a UE currently camps on a TN cell is not pursued.</w:t>
            </w:r>
          </w:p>
          <w:p w14:paraId="55E1DAAB" w14:textId="77777777" w:rsidR="00B635A2" w:rsidRDefault="00B635A2" w:rsidP="00A7499D">
            <w:r w:rsidRPr="00643ABD">
              <w:lastRenderedPageBreak/>
              <w:t>4.</w:t>
            </w:r>
            <w:r w:rsidRPr="00643ABD">
              <w:tab/>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5DC5D8FA" w14:textId="77777777" w:rsidR="00CC3A9C" w:rsidRPr="007F7B5D" w:rsidRDefault="00CC3A9C" w:rsidP="00CC3A9C">
      <w:pPr>
        <w:rPr>
          <w:lang w:val="en-US"/>
        </w:rPr>
      </w:pPr>
    </w:p>
    <w:tbl>
      <w:tblPr>
        <w:tblStyle w:val="TableGrid"/>
        <w:tblW w:w="0" w:type="auto"/>
        <w:tblInd w:w="0" w:type="dxa"/>
        <w:tblLook w:val="04A0" w:firstRow="1" w:lastRow="0" w:firstColumn="1" w:lastColumn="0" w:noHBand="0" w:noVBand="1"/>
      </w:tblPr>
      <w:tblGrid>
        <w:gridCol w:w="9062"/>
      </w:tblGrid>
      <w:tr w:rsidR="00CC3A9C" w14:paraId="21A15823" w14:textId="77777777" w:rsidTr="00A7499D">
        <w:tc>
          <w:tcPr>
            <w:tcW w:w="9062" w:type="dxa"/>
          </w:tcPr>
          <w:p w14:paraId="0A21DBC5" w14:textId="77777777" w:rsidR="00CC3A9C" w:rsidRPr="00643ABD" w:rsidRDefault="00CC3A9C" w:rsidP="00A7499D">
            <w:r w:rsidRPr="00643ABD">
              <w:t>Agreements:</w:t>
            </w:r>
          </w:p>
          <w:p w14:paraId="4FF8CC16" w14:textId="77777777" w:rsidR="00CC3A9C" w:rsidRPr="00643ABD" w:rsidRDefault="00CC3A9C" w:rsidP="00A7499D">
            <w:r w:rsidRPr="00643ABD">
              <w:t>1.</w:t>
            </w:r>
            <w:r w:rsidRPr="00643ABD">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16BA58B0" w14:textId="77777777" w:rsidR="00CC3A9C" w:rsidRPr="00643ABD" w:rsidRDefault="00CC3A9C" w:rsidP="00A7499D">
            <w:r w:rsidRPr="00643ABD">
              <w:t>2.</w:t>
            </w:r>
            <w:r w:rsidRPr="00643ABD">
              <w:tab/>
              <w:t xml:space="preserve">New Proposal 2: RAN2 continues the discussion (e.g. at RAN2#120) on the solution with keeping the same PCI after switching of the satellites. Clarify at least the following: </w:t>
            </w:r>
          </w:p>
          <w:p w14:paraId="05E9129C" w14:textId="77777777" w:rsidR="00CC3A9C" w:rsidRPr="00643ABD" w:rsidRDefault="00CC3A9C" w:rsidP="00A7499D">
            <w:r w:rsidRPr="00643ABD">
              <w:tab/>
              <w:t>•</w:t>
            </w:r>
            <w:r w:rsidRPr="00643ABD">
              <w:tab/>
              <w:t>RAN1 impact</w:t>
            </w:r>
          </w:p>
          <w:p w14:paraId="597BA6C3" w14:textId="77777777" w:rsidR="00CC3A9C" w:rsidRPr="00643ABD" w:rsidRDefault="00CC3A9C" w:rsidP="00A7499D">
            <w:r w:rsidRPr="00643ABD">
              <w:tab/>
              <w:t>•</w:t>
            </w:r>
            <w:r w:rsidRPr="00643ABD">
              <w:tab/>
              <w:t xml:space="preserve">The need to perform UL beam switching and/or RA </w:t>
            </w:r>
          </w:p>
          <w:p w14:paraId="77B97A9A" w14:textId="77777777" w:rsidR="00CC3A9C" w:rsidRDefault="00CC3A9C" w:rsidP="00A7499D">
            <w:r w:rsidRPr="00643ABD">
              <w:tab/>
              <w:t>•</w:t>
            </w:r>
            <w:r w:rsidRPr="00643ABD">
              <w:tab/>
              <w:t>Applicability to hard or soft satellite switching</w:t>
            </w:r>
          </w:p>
        </w:tc>
      </w:tr>
    </w:tbl>
    <w:p w14:paraId="4FB79292" w14:textId="77777777" w:rsidR="00485475" w:rsidRPr="008051EF" w:rsidRDefault="00485475" w:rsidP="002C61AF">
      <w:pPr>
        <w:rPr>
          <w:lang w:val="en-US"/>
        </w:rPr>
      </w:pPr>
    </w:p>
    <w:p w14:paraId="76CA50BE" w14:textId="50139F60" w:rsidR="002C61AF" w:rsidRPr="006E13D1" w:rsidRDefault="00C60F47" w:rsidP="002C61AF">
      <w:pPr>
        <w:pStyle w:val="Heading1"/>
      </w:pPr>
      <w:r>
        <w:t>2</w:t>
      </w:r>
      <w:r w:rsidR="002C61AF" w:rsidRPr="006E13D1">
        <w:tab/>
      </w:r>
      <w:r w:rsidR="004C03FB">
        <w:t>NTN</w:t>
      </w:r>
      <w:r w:rsidR="002C61AF">
        <w:t>-NTN</w:t>
      </w:r>
      <w:r w:rsidR="004C03FB">
        <w:t xml:space="preserve"> </w:t>
      </w:r>
      <w:r w:rsidR="0021042A">
        <w:t>cell</w:t>
      </w:r>
      <w:r w:rsidR="00A65AB0">
        <w:t xml:space="preserve"> </w:t>
      </w:r>
      <w:r w:rsidR="004C03FB">
        <w:t>reselection</w:t>
      </w:r>
    </w:p>
    <w:p w14:paraId="6418357F" w14:textId="15AC49B1" w:rsidR="00A65AB0" w:rsidRDefault="00A65AB0" w:rsidP="00A65AB0">
      <w:pPr>
        <w:jc w:val="both"/>
      </w:pPr>
      <w:r>
        <w:t xml:space="preserve">In </w:t>
      </w:r>
      <w:r w:rsidRPr="006C0DC2">
        <w:t>quasi-</w:t>
      </w:r>
      <w:r>
        <w:t xml:space="preserve">Earth-fixed cells in </w:t>
      </w:r>
      <w:r w:rsidRPr="006C0DC2">
        <w:t xml:space="preserve">Rel-17 t-Service can be used by the UEs to perform cell reselection measurements. </w:t>
      </w:r>
      <w:r>
        <w:t xml:space="preserve">However, for Earth-moving cells, using a common cell-specific t-Service can be difficult because the cell stop time depends on the UE location. </w:t>
      </w:r>
    </w:p>
    <w:p w14:paraId="0D93D602" w14:textId="717AF0DF" w:rsidR="00A65AB0" w:rsidRPr="007F7B5D" w:rsidRDefault="005D4EC0" w:rsidP="007F7B5D">
      <w:pPr>
        <w:jc w:val="both"/>
      </w:pPr>
      <w:r>
        <w:t>As shown above, t</w:t>
      </w:r>
      <w:r w:rsidR="00A65AB0">
        <w:t>he following agree</w:t>
      </w:r>
      <w:r w:rsidR="009E1C67">
        <w:t>ments were made</w:t>
      </w:r>
      <w:r w:rsidR="00A65AB0">
        <w:t xml:space="preserve"> in the</w:t>
      </w:r>
      <w:r>
        <w:t xml:space="preserve"> last</w:t>
      </w:r>
      <w:r w:rsidR="00A65AB0">
        <w:t xml:space="preserve"> RAN2</w:t>
      </w:r>
      <w:r>
        <w:t xml:space="preserve"> meeting</w:t>
      </w:r>
      <w:r w:rsidR="0007342F">
        <w:t xml:space="preserve"> </w:t>
      </w:r>
      <w:r w:rsidR="0007342F">
        <w:fldChar w:fldCharType="begin"/>
      </w:r>
      <w:r w:rsidR="0007342F">
        <w:instrText xml:space="preserve"> REF _Ref118404673 \r \h </w:instrText>
      </w:r>
      <w:r w:rsidR="0007342F">
        <w:fldChar w:fldCharType="separate"/>
      </w:r>
      <w:r w:rsidR="0007342F">
        <w:t>[3]</w:t>
      </w:r>
      <w:r w:rsidR="0007342F">
        <w:fldChar w:fldCharType="end"/>
      </w:r>
    </w:p>
    <w:tbl>
      <w:tblPr>
        <w:tblStyle w:val="TableGrid"/>
        <w:tblW w:w="0" w:type="auto"/>
        <w:tblInd w:w="0" w:type="dxa"/>
        <w:tblLook w:val="04A0" w:firstRow="1" w:lastRow="0" w:firstColumn="1" w:lastColumn="0" w:noHBand="0" w:noVBand="1"/>
      </w:tblPr>
      <w:tblGrid>
        <w:gridCol w:w="9631"/>
      </w:tblGrid>
      <w:tr w:rsidR="00A65AB0" w14:paraId="479E7961" w14:textId="77777777" w:rsidTr="00A65AB0">
        <w:tc>
          <w:tcPr>
            <w:tcW w:w="9631" w:type="dxa"/>
          </w:tcPr>
          <w:p w14:paraId="25A3620B" w14:textId="77777777" w:rsidR="00A65AB0" w:rsidRPr="00643ABD" w:rsidRDefault="00A65AB0" w:rsidP="00A65AB0">
            <w:r w:rsidRPr="00643ABD">
              <w:t>Agreements:</w:t>
            </w:r>
          </w:p>
          <w:p w14:paraId="120792FC" w14:textId="61C17159" w:rsidR="00A65AB0" w:rsidRPr="005D4EC0" w:rsidRDefault="00A65AB0" w:rsidP="007F7B5D">
            <w:pPr>
              <w:pStyle w:val="ListParagraph"/>
              <w:numPr>
                <w:ilvl w:val="0"/>
                <w:numId w:val="21"/>
              </w:numPr>
            </w:pPr>
            <w:r w:rsidRPr="00643ABD">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tc>
      </w:tr>
    </w:tbl>
    <w:p w14:paraId="491C019E" w14:textId="32B4F652" w:rsidR="00A65AB0" w:rsidRDefault="0007342F" w:rsidP="004C03FB">
      <w:pPr>
        <w:rPr>
          <w:lang w:val="en-US"/>
        </w:rPr>
      </w:pPr>
      <w:r>
        <w:rPr>
          <w:lang w:val="en-US"/>
        </w:rPr>
        <w:br/>
      </w:r>
      <w:r w:rsidR="00BF3BC3">
        <w:rPr>
          <w:lang w:val="en-US"/>
        </w:rPr>
        <w:t xml:space="preserve">The agreement addresses the evident issue of Earth-moving cells where the serving cell stop time is </w:t>
      </w:r>
      <w:r w:rsidR="005D4EC0">
        <w:rPr>
          <w:lang w:val="en-US"/>
        </w:rPr>
        <w:t xml:space="preserve">specific for each </w:t>
      </w:r>
      <w:r w:rsidR="00BF3BC3">
        <w:rPr>
          <w:lang w:val="en-US"/>
        </w:rPr>
        <w:t xml:space="preserve">UE location. However, </w:t>
      </w:r>
      <w:r w:rsidR="005D4EC0">
        <w:rPr>
          <w:lang w:val="en-US"/>
        </w:rPr>
        <w:t>the agreement</w:t>
      </w:r>
      <w:r w:rsidR="00BF3BC3">
        <w:rPr>
          <w:lang w:val="en-US"/>
        </w:rPr>
        <w:t xml:space="preserve"> left FFS whether this feature should be UE optional.</w:t>
      </w:r>
    </w:p>
    <w:p w14:paraId="62D92A64" w14:textId="635A733D" w:rsidR="00BF3BC3" w:rsidRPr="007F7B5D" w:rsidRDefault="00BF3BC3" w:rsidP="004C03FB">
      <w:pPr>
        <w:rPr>
          <w:b/>
          <w:bCs/>
          <w:lang w:val="en-US"/>
        </w:rPr>
      </w:pPr>
      <w:r w:rsidRPr="007F7B5D">
        <w:rPr>
          <w:b/>
          <w:bCs/>
          <w:lang w:val="en-US"/>
        </w:rPr>
        <w:t xml:space="preserve">Observation </w:t>
      </w:r>
      <w:r w:rsidR="00376C2D">
        <w:rPr>
          <w:b/>
          <w:bCs/>
          <w:lang w:val="en-US"/>
        </w:rPr>
        <w:t>1</w:t>
      </w:r>
      <w:r w:rsidRPr="007F7B5D">
        <w:rPr>
          <w:b/>
          <w:bCs/>
          <w:lang w:val="en-US"/>
        </w:rPr>
        <w:t>: RAN2 left FFS whether the serving cell signals cell-specific parameters for UE to estimate when the serving cell stops cellular coverage.</w:t>
      </w:r>
    </w:p>
    <w:p w14:paraId="63337C63" w14:textId="2003E7FE" w:rsidR="00BF3BC3" w:rsidRPr="007F7B5D" w:rsidRDefault="00BF3BC3" w:rsidP="004C03FB">
      <w:pPr>
        <w:rPr>
          <w:b/>
          <w:bCs/>
          <w:lang w:val="en-US"/>
        </w:rPr>
      </w:pPr>
      <w:r w:rsidRPr="007F7B5D">
        <w:rPr>
          <w:b/>
          <w:bCs/>
          <w:lang w:val="en-US"/>
        </w:rPr>
        <w:t xml:space="preserve">Proposal </w:t>
      </w:r>
      <w:r w:rsidR="00376C2D">
        <w:rPr>
          <w:b/>
          <w:bCs/>
          <w:lang w:val="en-US"/>
        </w:rPr>
        <w:t>1</w:t>
      </w:r>
      <w:r w:rsidRPr="007F7B5D">
        <w:rPr>
          <w:b/>
          <w:bCs/>
          <w:lang w:val="en-US"/>
        </w:rPr>
        <w:t>: For Earth-moving cells, RAN2</w:t>
      </w:r>
      <w:r w:rsidR="005D4EC0" w:rsidRPr="007F7B5D">
        <w:rPr>
          <w:b/>
          <w:bCs/>
          <w:lang w:val="en-US"/>
        </w:rPr>
        <w:t xml:space="preserve"> to</w:t>
      </w:r>
      <w:r w:rsidRPr="007F7B5D">
        <w:rPr>
          <w:b/>
          <w:bCs/>
          <w:lang w:val="en-US"/>
        </w:rPr>
        <w:t xml:space="preserve"> </w:t>
      </w:r>
      <w:r w:rsidR="005D4EC0" w:rsidRPr="007F7B5D">
        <w:rPr>
          <w:b/>
          <w:bCs/>
          <w:lang w:val="en-US"/>
        </w:rPr>
        <w:t>discuss whether there exist alternatives to</w:t>
      </w:r>
      <w:r w:rsidRPr="007F7B5D">
        <w:rPr>
          <w:b/>
          <w:bCs/>
          <w:lang w:val="en-US"/>
        </w:rPr>
        <w:t xml:space="preserve"> the UE estimat</w:t>
      </w:r>
      <w:r w:rsidR="005D4EC0" w:rsidRPr="007F7B5D">
        <w:rPr>
          <w:b/>
          <w:bCs/>
          <w:lang w:val="en-US"/>
        </w:rPr>
        <w:t>ing</w:t>
      </w:r>
      <w:r w:rsidRPr="007F7B5D">
        <w:rPr>
          <w:b/>
          <w:bCs/>
          <w:lang w:val="en-US"/>
        </w:rPr>
        <w:t xml:space="preserve"> when the serving cell stops coverage.</w:t>
      </w:r>
    </w:p>
    <w:p w14:paraId="07A51E3A" w14:textId="6A7230D2" w:rsidR="009E021D" w:rsidRDefault="0022214C" w:rsidP="004C03FB">
      <w:pPr>
        <w:rPr>
          <w:lang w:val="en-US"/>
        </w:rPr>
      </w:pPr>
      <w:r>
        <w:rPr>
          <w:lang w:val="en-US"/>
        </w:rPr>
        <w:t>In RAN2#119bis</w:t>
      </w:r>
      <w:r w:rsidR="00F2433A">
        <w:rPr>
          <w:lang w:val="en-US"/>
        </w:rPr>
        <w:t xml:space="preserve"> the</w:t>
      </w:r>
      <w:r>
        <w:rPr>
          <w:lang w:val="en-US"/>
        </w:rPr>
        <w:t xml:space="preserve"> following</w:t>
      </w:r>
      <w:r w:rsidR="00F2433A">
        <w:rPr>
          <w:lang w:val="en-US"/>
        </w:rPr>
        <w:t xml:space="preserve"> agree</w:t>
      </w:r>
      <w:r w:rsidR="009E1C67">
        <w:rPr>
          <w:lang w:val="en-US"/>
        </w:rPr>
        <w:t>ments were made</w:t>
      </w:r>
      <w:r>
        <w:rPr>
          <w:lang w:val="en-US"/>
        </w:rPr>
        <w:t>:</w:t>
      </w:r>
    </w:p>
    <w:tbl>
      <w:tblPr>
        <w:tblStyle w:val="TableGrid"/>
        <w:tblW w:w="0" w:type="auto"/>
        <w:tblInd w:w="0" w:type="dxa"/>
        <w:tblLook w:val="04A0" w:firstRow="1" w:lastRow="0" w:firstColumn="1" w:lastColumn="0" w:noHBand="0" w:noVBand="1"/>
      </w:tblPr>
      <w:tblGrid>
        <w:gridCol w:w="9631"/>
      </w:tblGrid>
      <w:tr w:rsidR="009E021D" w14:paraId="59BD453E" w14:textId="77777777" w:rsidTr="007F7B5D">
        <w:tc>
          <w:tcPr>
            <w:tcW w:w="9631" w:type="dxa"/>
            <w:vAlign w:val="center"/>
          </w:tcPr>
          <w:p w14:paraId="1450FE96" w14:textId="4306B58D" w:rsidR="003856F7" w:rsidRDefault="003856F7" w:rsidP="007F7B5D">
            <w:r w:rsidRPr="00643ABD">
              <w:t>Agreements:</w:t>
            </w:r>
          </w:p>
          <w:p w14:paraId="6582FC18" w14:textId="388D004B" w:rsidR="003856F7" w:rsidRDefault="00017B11" w:rsidP="009E021D">
            <w:pPr>
              <w:pStyle w:val="ListParagraph"/>
              <w:numPr>
                <w:ilvl w:val="0"/>
                <w:numId w:val="20"/>
              </w:numPr>
            </w:pPr>
            <w:r w:rsidRPr="00643ABD">
              <w:t>System information is the basic means for providing necessary parameters to assist UE to estimate when the serving cell stops providing coverage at the present UE location.</w:t>
            </w:r>
          </w:p>
          <w:p w14:paraId="47CA927D" w14:textId="77777777" w:rsidR="003856F7" w:rsidRDefault="003856F7" w:rsidP="007F7B5D">
            <w:pPr>
              <w:pStyle w:val="ListParagraph"/>
              <w:ind w:left="360"/>
            </w:pPr>
          </w:p>
          <w:p w14:paraId="786F1D20" w14:textId="6BD17C64" w:rsidR="009E021D" w:rsidRPr="007F7B5D" w:rsidRDefault="003856F7" w:rsidP="007F7B5D">
            <w:pPr>
              <w:pStyle w:val="ListParagraph"/>
              <w:numPr>
                <w:ilvl w:val="0"/>
                <w:numId w:val="20"/>
              </w:numPr>
            </w:pPr>
            <w:r>
              <w:t>I</w:t>
            </w:r>
            <w:r w:rsidR="009E021D" w:rsidRPr="00643ABD">
              <w:t>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r w:rsidR="00B36A4A">
              <w:t>.</w:t>
            </w:r>
          </w:p>
        </w:tc>
      </w:tr>
    </w:tbl>
    <w:p w14:paraId="6F0C64F6" w14:textId="46034966" w:rsidR="00E820ED" w:rsidRDefault="00E820ED" w:rsidP="004C03FB">
      <w:pPr>
        <w:rPr>
          <w:lang w:val="en-US"/>
        </w:rPr>
      </w:pPr>
    </w:p>
    <w:p w14:paraId="4B7A1A5F" w14:textId="2EDE4578" w:rsidR="00A82887" w:rsidRDefault="00F47552" w:rsidP="004C03FB">
      <w:pPr>
        <w:rPr>
          <w:lang w:val="en-US"/>
        </w:rPr>
      </w:pPr>
      <w:r>
        <w:rPr>
          <w:lang w:val="en-US"/>
        </w:rPr>
        <w:lastRenderedPageBreak/>
        <w:t>Considering that Earth-moving cells adjust continuously its reference location,</w:t>
      </w:r>
      <w:r w:rsidR="00E922D2">
        <w:rPr>
          <w:lang w:val="en-US"/>
        </w:rPr>
        <w:t xml:space="preserve"> </w:t>
      </w:r>
      <w:r w:rsidR="004D0FA2">
        <w:rPr>
          <w:lang w:val="en-US"/>
        </w:rPr>
        <w:t xml:space="preserve">each UE will require appropriate calculations </w:t>
      </w:r>
      <w:r w:rsidR="00E922D2">
        <w:rPr>
          <w:lang w:val="en-US"/>
        </w:rPr>
        <w:t>to estimate when the serving cell coverage stops</w:t>
      </w:r>
      <w:r w:rsidR="000C14CD">
        <w:rPr>
          <w:lang w:val="en-US"/>
        </w:rPr>
        <w:t>.</w:t>
      </w:r>
      <w:r w:rsidR="007200A2">
        <w:rPr>
          <w:lang w:val="en-US"/>
        </w:rPr>
        <w:t xml:space="preserve"> </w:t>
      </w:r>
      <w:r w:rsidR="008E43EE">
        <w:rPr>
          <w:lang w:val="en-US"/>
        </w:rPr>
        <w:t>T</w:t>
      </w:r>
      <w:r w:rsidR="00A82887">
        <w:rPr>
          <w:lang w:val="en-US"/>
        </w:rPr>
        <w:t xml:space="preserve">he UE should </w:t>
      </w:r>
      <w:r w:rsidR="008E43EE">
        <w:rPr>
          <w:lang w:val="en-US"/>
        </w:rPr>
        <w:t>perform these calculations, considering:</w:t>
      </w:r>
    </w:p>
    <w:p w14:paraId="31E4BD13" w14:textId="77777777" w:rsidR="000A1A66" w:rsidRDefault="00503682" w:rsidP="00503682">
      <w:pPr>
        <w:pStyle w:val="ListParagraph"/>
        <w:numPr>
          <w:ilvl w:val="0"/>
          <w:numId w:val="18"/>
        </w:numPr>
        <w:rPr>
          <w:lang w:val="en-US"/>
        </w:rPr>
      </w:pPr>
      <w:r>
        <w:rPr>
          <w:lang w:val="en-US"/>
        </w:rPr>
        <w:t>Satellite’s ephemeris (to know cell</w:t>
      </w:r>
      <w:r w:rsidR="000A1A66">
        <w:rPr>
          <w:lang w:val="en-US"/>
        </w:rPr>
        <w:t>s direction and cells speed).</w:t>
      </w:r>
    </w:p>
    <w:p w14:paraId="254A36C9" w14:textId="73F31C88" w:rsidR="000A1A66" w:rsidRDefault="00EB5DB7" w:rsidP="00503682">
      <w:pPr>
        <w:pStyle w:val="ListParagraph"/>
        <w:numPr>
          <w:ilvl w:val="0"/>
          <w:numId w:val="18"/>
        </w:numPr>
        <w:rPr>
          <w:lang w:val="en-US"/>
        </w:rPr>
      </w:pPr>
      <w:r>
        <w:rPr>
          <w:lang w:val="en-US"/>
        </w:rPr>
        <w:t>Serving c</w:t>
      </w:r>
      <w:r w:rsidR="000A1A66">
        <w:rPr>
          <w:lang w:val="en-US"/>
        </w:rPr>
        <w:t>el</w:t>
      </w:r>
      <w:r>
        <w:rPr>
          <w:lang w:val="en-US"/>
        </w:rPr>
        <w:t>l</w:t>
      </w:r>
      <w:r w:rsidR="000A1A66">
        <w:rPr>
          <w:lang w:val="en-US"/>
        </w:rPr>
        <w:t xml:space="preserve"> reference location.</w:t>
      </w:r>
    </w:p>
    <w:p w14:paraId="43E7DF06" w14:textId="5674D393" w:rsidR="00EB5DB7" w:rsidRDefault="00EB5DB7" w:rsidP="00503682">
      <w:pPr>
        <w:pStyle w:val="ListParagraph"/>
        <w:numPr>
          <w:ilvl w:val="0"/>
          <w:numId w:val="18"/>
        </w:numPr>
        <w:rPr>
          <w:lang w:val="en-US"/>
        </w:rPr>
      </w:pPr>
      <w:r>
        <w:rPr>
          <w:lang w:val="en-US"/>
        </w:rPr>
        <w:t xml:space="preserve">Serving cell distance threshold. </w:t>
      </w:r>
    </w:p>
    <w:p w14:paraId="3DF1A645" w14:textId="77777777" w:rsidR="000A1A66" w:rsidRDefault="000A1A66" w:rsidP="00503682">
      <w:pPr>
        <w:pStyle w:val="ListParagraph"/>
        <w:numPr>
          <w:ilvl w:val="0"/>
          <w:numId w:val="18"/>
        </w:numPr>
        <w:rPr>
          <w:lang w:val="en-US"/>
        </w:rPr>
      </w:pPr>
      <w:r>
        <w:rPr>
          <w:lang w:val="en-US"/>
        </w:rPr>
        <w:t>UE’s location.</w:t>
      </w:r>
    </w:p>
    <w:p w14:paraId="19E3D518" w14:textId="50E7C647" w:rsidR="004E3B59" w:rsidRDefault="004E3B59" w:rsidP="004C03FB">
      <w:pPr>
        <w:rPr>
          <w:lang w:val="en-US"/>
        </w:rPr>
      </w:pPr>
      <w:r w:rsidRPr="007F7B5D">
        <w:rPr>
          <w:b/>
          <w:bCs/>
          <w:lang w:val="en-US"/>
        </w:rPr>
        <w:t xml:space="preserve">Proposal </w:t>
      </w:r>
      <w:r w:rsidR="00376C2D">
        <w:rPr>
          <w:b/>
          <w:bCs/>
          <w:lang w:val="en-US"/>
        </w:rPr>
        <w:t>2</w:t>
      </w:r>
      <w:r w:rsidRPr="007F7B5D">
        <w:rPr>
          <w:b/>
          <w:bCs/>
          <w:lang w:val="en-US"/>
        </w:rPr>
        <w:t>:</w:t>
      </w:r>
      <w:r>
        <w:rPr>
          <w:lang w:val="en-US"/>
        </w:rPr>
        <w:t xml:space="preserve"> </w:t>
      </w:r>
      <w:r w:rsidR="00905065" w:rsidRPr="00DB3ECF">
        <w:rPr>
          <w:b/>
          <w:bCs/>
        </w:rPr>
        <w:t xml:space="preserve">UE performs individual estimation, considering satellite’s ephemeris, </w:t>
      </w:r>
      <w:r w:rsidR="00905065">
        <w:rPr>
          <w:b/>
          <w:bCs/>
        </w:rPr>
        <w:t xml:space="preserve">serving </w:t>
      </w:r>
      <w:r w:rsidR="00905065" w:rsidRPr="00DB3ECF">
        <w:rPr>
          <w:b/>
          <w:bCs/>
        </w:rPr>
        <w:t>cell reference location</w:t>
      </w:r>
      <w:r w:rsidR="00905065">
        <w:rPr>
          <w:b/>
          <w:bCs/>
        </w:rPr>
        <w:t>, serving cell distance threshold</w:t>
      </w:r>
      <w:r w:rsidR="00905065" w:rsidRPr="00DB3ECF">
        <w:rPr>
          <w:b/>
          <w:bCs/>
        </w:rPr>
        <w:t xml:space="preserve"> and its own location to enable location-based reselections in Earth-moving scenario.</w:t>
      </w:r>
    </w:p>
    <w:p w14:paraId="504B2365" w14:textId="09449ED9" w:rsidR="00B036F4" w:rsidRDefault="00B036F4" w:rsidP="004C03FB">
      <w:pPr>
        <w:rPr>
          <w:lang w:val="en-US"/>
        </w:rPr>
      </w:pPr>
      <w:r>
        <w:rPr>
          <w:lang w:val="en-US"/>
        </w:rPr>
        <w:t xml:space="preserve">As agreed in the last meeting, for Earth-moving cells, </w:t>
      </w:r>
      <w:r w:rsidRPr="00643ABD">
        <w:t>the</w:t>
      </w:r>
      <w:r>
        <w:t xml:space="preserve"> cell</w:t>
      </w:r>
      <w:r w:rsidRPr="00643ABD">
        <w:t xml:space="preserve"> reference location and distance threshold of serving cell are provided by network for UE to estimate when the serving cell stops providing coverage at the present UE location</w:t>
      </w:r>
      <w:r>
        <w:t xml:space="preserve">. </w:t>
      </w:r>
      <w:r>
        <w:rPr>
          <w:lang w:val="en-US"/>
        </w:rPr>
        <w:t xml:space="preserve">However, it was left open, how </w:t>
      </w:r>
      <w:r w:rsidRPr="00643ABD">
        <w:t>the reference location and/or distance threshold are provided to the UE</w:t>
      </w:r>
      <w:r>
        <w:t>.</w:t>
      </w:r>
    </w:p>
    <w:p w14:paraId="2DD3F22E" w14:textId="7F140504" w:rsidR="00BF3BC3" w:rsidRDefault="006F0E6B" w:rsidP="004C03FB">
      <w:pPr>
        <w:rPr>
          <w:lang w:val="en-US"/>
        </w:rPr>
      </w:pPr>
      <w:r>
        <w:rPr>
          <w:lang w:val="en-US"/>
        </w:rPr>
        <w:t xml:space="preserve">Such assistance information </w:t>
      </w:r>
      <w:r w:rsidR="0070635B">
        <w:rPr>
          <w:lang w:val="en-US"/>
        </w:rPr>
        <w:t xml:space="preserve">can be broadcast via system information or via dedicated </w:t>
      </w:r>
      <w:r w:rsidR="00376C2D">
        <w:rPr>
          <w:lang w:val="en-US"/>
        </w:rPr>
        <w:t>signaling</w:t>
      </w:r>
      <w:r w:rsidR="0070635B">
        <w:rPr>
          <w:lang w:val="en-US"/>
        </w:rPr>
        <w:t xml:space="preserve">. </w:t>
      </w:r>
      <w:r w:rsidR="00E33A4B">
        <w:rPr>
          <w:lang w:val="en-US"/>
        </w:rPr>
        <w:t xml:space="preserve">Dedicated </w:t>
      </w:r>
      <w:r w:rsidR="00376C2D">
        <w:rPr>
          <w:lang w:val="en-US"/>
        </w:rPr>
        <w:t>signaling</w:t>
      </w:r>
      <w:r w:rsidR="00E33A4B">
        <w:rPr>
          <w:lang w:val="en-US"/>
        </w:rPr>
        <w:t xml:space="preserve"> is UE-specific and as we consider here the IDLE mode scenario, such information can be only provided in RRC Release message (when moving from CONNECTED to IDLE)</w:t>
      </w:r>
      <w:r w:rsidR="00482E31">
        <w:rPr>
          <w:lang w:val="en-US"/>
        </w:rPr>
        <w:t xml:space="preserve">. </w:t>
      </w:r>
      <w:r w:rsidR="00894962">
        <w:rPr>
          <w:lang w:val="en-US"/>
        </w:rPr>
        <w:t xml:space="preserve">For such cases system information is a better choice. </w:t>
      </w:r>
      <w:r w:rsidR="00482E31">
        <w:rPr>
          <w:lang w:val="en-US"/>
        </w:rPr>
        <w:t xml:space="preserve"> </w:t>
      </w:r>
    </w:p>
    <w:p w14:paraId="3B79FF7A" w14:textId="3E116350" w:rsidR="000A5D0B" w:rsidRPr="007F7B5D" w:rsidRDefault="00E27371" w:rsidP="004C03FB">
      <w:pPr>
        <w:rPr>
          <w:b/>
          <w:bCs/>
          <w:lang w:val="en-US"/>
        </w:rPr>
      </w:pPr>
      <w:r w:rsidRPr="007F7B5D">
        <w:rPr>
          <w:b/>
          <w:bCs/>
          <w:lang w:val="en-US"/>
        </w:rPr>
        <w:t xml:space="preserve">Proposal </w:t>
      </w:r>
      <w:r w:rsidR="00376C2D">
        <w:rPr>
          <w:b/>
          <w:bCs/>
          <w:lang w:val="en-US"/>
        </w:rPr>
        <w:t>3</w:t>
      </w:r>
      <w:r w:rsidRPr="007F7B5D">
        <w:rPr>
          <w:b/>
          <w:bCs/>
          <w:lang w:val="en-US"/>
        </w:rPr>
        <w:t xml:space="preserve">: </w:t>
      </w:r>
      <w:r w:rsidR="000A5D0B" w:rsidRPr="007F7B5D">
        <w:rPr>
          <w:b/>
          <w:bCs/>
          <w:lang w:val="en-US"/>
        </w:rPr>
        <w:t xml:space="preserve">Considering </w:t>
      </w:r>
      <w:r w:rsidRPr="007F7B5D">
        <w:rPr>
          <w:b/>
          <w:bCs/>
          <w:lang w:val="en-US"/>
        </w:rPr>
        <w:t>the</w:t>
      </w:r>
      <w:r w:rsidR="000A5D0B" w:rsidRPr="007F7B5D">
        <w:rPr>
          <w:b/>
          <w:bCs/>
          <w:lang w:val="en-US"/>
        </w:rPr>
        <w:t xml:space="preserve"> agreements taken in the </w:t>
      </w:r>
      <w:r w:rsidRPr="007F7B5D">
        <w:rPr>
          <w:b/>
          <w:bCs/>
          <w:lang w:val="en-US"/>
        </w:rPr>
        <w:t>RAN2#119bis</w:t>
      </w:r>
      <w:r w:rsidR="000A5D0B" w:rsidRPr="007F7B5D">
        <w:rPr>
          <w:b/>
          <w:bCs/>
          <w:lang w:val="en-US"/>
        </w:rPr>
        <w:t xml:space="preserve"> meeting</w:t>
      </w:r>
      <w:r w:rsidRPr="007F7B5D">
        <w:rPr>
          <w:b/>
          <w:bCs/>
          <w:lang w:val="en-US"/>
        </w:rPr>
        <w:t>,</w:t>
      </w:r>
      <w:r w:rsidR="000A5D0B" w:rsidRPr="007F7B5D">
        <w:rPr>
          <w:b/>
          <w:bCs/>
          <w:lang w:val="en-US"/>
        </w:rPr>
        <w:t xml:space="preserve"> </w:t>
      </w:r>
      <w:r w:rsidRPr="007F7B5D">
        <w:rPr>
          <w:b/>
          <w:bCs/>
          <w:lang w:val="en-US"/>
        </w:rPr>
        <w:t xml:space="preserve">the reference location and distance threshold of serving cell shall be provided </w:t>
      </w:r>
      <w:r w:rsidR="00543870" w:rsidRPr="007F7B5D">
        <w:rPr>
          <w:b/>
          <w:bCs/>
          <w:lang w:val="en-US"/>
        </w:rPr>
        <w:t>to the UE via system information.</w:t>
      </w:r>
    </w:p>
    <w:p w14:paraId="62CC878A" w14:textId="18EF551F" w:rsidR="004C03FB" w:rsidRDefault="006C0DC2" w:rsidP="00B635A2">
      <w:r>
        <w:t xml:space="preserve">With this information in place for the serving cell, it is only logical, to provide similar information for </w:t>
      </w:r>
      <w:proofErr w:type="spellStart"/>
      <w:r>
        <w:t>neighbor</w:t>
      </w:r>
      <w:proofErr w:type="spellEnd"/>
      <w:r>
        <w:t xml:space="preserve"> cells as well, </w:t>
      </w:r>
      <w:r w:rsidR="00376C2D">
        <w:t>to</w:t>
      </w:r>
      <w:r>
        <w:t xml:space="preserve"> allow the UE to select the proper </w:t>
      </w:r>
      <w:proofErr w:type="spellStart"/>
      <w:r>
        <w:t>neighbor</w:t>
      </w:r>
      <w:proofErr w:type="spellEnd"/>
      <w:r>
        <w:t xml:space="preserve"> cell.</w:t>
      </w:r>
    </w:p>
    <w:p w14:paraId="74F088B0" w14:textId="5749CF31" w:rsidR="002A712B" w:rsidRDefault="004C03FB" w:rsidP="002A712B">
      <w:pPr>
        <w:rPr>
          <w:b/>
          <w:bCs/>
        </w:rPr>
      </w:pPr>
      <w:r w:rsidRPr="004C03FB">
        <w:rPr>
          <w:b/>
          <w:bCs/>
        </w:rPr>
        <w:t>Proposal</w:t>
      </w:r>
      <w:r w:rsidR="00236B65">
        <w:rPr>
          <w:b/>
          <w:bCs/>
        </w:rPr>
        <w:t xml:space="preserve"> </w:t>
      </w:r>
      <w:r w:rsidR="00376C2D">
        <w:rPr>
          <w:b/>
          <w:bCs/>
        </w:rPr>
        <w:t>4</w:t>
      </w:r>
      <w:r w:rsidRPr="004C03FB">
        <w:rPr>
          <w:b/>
          <w:bCs/>
        </w:rPr>
        <w:t xml:space="preserve">: The reference location and distance threshold </w:t>
      </w:r>
      <w:r w:rsidR="006C0DC2">
        <w:rPr>
          <w:b/>
          <w:bCs/>
        </w:rPr>
        <w:t>can</w:t>
      </w:r>
      <w:r w:rsidRPr="004C03FB">
        <w:rPr>
          <w:b/>
          <w:bCs/>
        </w:rPr>
        <w:t xml:space="preserve"> also be provided for </w:t>
      </w:r>
      <w:proofErr w:type="spellStart"/>
      <w:r w:rsidRPr="004C03FB">
        <w:rPr>
          <w:b/>
          <w:bCs/>
        </w:rPr>
        <w:t>neighbor</w:t>
      </w:r>
      <w:proofErr w:type="spellEnd"/>
      <w:r w:rsidRPr="004C03FB">
        <w:rPr>
          <w:b/>
          <w:bCs/>
        </w:rPr>
        <w:t xml:space="preserve"> cells.</w:t>
      </w:r>
    </w:p>
    <w:p w14:paraId="40484C23" w14:textId="459E79B2" w:rsidR="00057C9C" w:rsidRDefault="00C60F47" w:rsidP="00057C9C">
      <w:pPr>
        <w:pStyle w:val="Heading1"/>
      </w:pPr>
      <w:r>
        <w:t>3</w:t>
      </w:r>
      <w:r w:rsidR="00057C9C" w:rsidRPr="006E13D1">
        <w:tab/>
      </w:r>
      <w:r w:rsidR="00057C9C">
        <w:t>TN-NTN cell-reselection</w:t>
      </w:r>
    </w:p>
    <w:p w14:paraId="0B0150C4" w14:textId="7A25F37D" w:rsidR="00057C9C" w:rsidRDefault="00057C9C" w:rsidP="00057C9C">
      <w:pPr>
        <w:rPr>
          <w:lang w:val="en-US"/>
        </w:rPr>
      </w:pPr>
      <w:r>
        <w:rPr>
          <w:lang w:val="en-US"/>
        </w:rPr>
        <w:t>The following was agreed in the RAN2#119bis meeting</w:t>
      </w:r>
      <w:r w:rsidR="00627968">
        <w:rPr>
          <w:lang w:val="en-US"/>
        </w:rPr>
        <w:t xml:space="preserve"> </w:t>
      </w:r>
      <w:r w:rsidR="00627968">
        <w:rPr>
          <w:lang w:val="en-US"/>
        </w:rPr>
        <w:fldChar w:fldCharType="begin"/>
      </w:r>
      <w:r w:rsidR="00627968">
        <w:rPr>
          <w:lang w:val="en-US"/>
        </w:rPr>
        <w:instrText xml:space="preserve"> REF _Ref118404673 \r \h </w:instrText>
      </w:r>
      <w:r w:rsidR="00627968">
        <w:rPr>
          <w:lang w:val="en-US"/>
        </w:rPr>
      </w:r>
      <w:r w:rsidR="00627968">
        <w:rPr>
          <w:lang w:val="en-US"/>
        </w:rPr>
        <w:fldChar w:fldCharType="separate"/>
      </w:r>
      <w:r w:rsidR="00627968">
        <w:rPr>
          <w:lang w:val="en-US"/>
        </w:rPr>
        <w:t>[3]</w:t>
      </w:r>
      <w:r w:rsidR="00627968">
        <w:rPr>
          <w:lang w:val="en-US"/>
        </w:rPr>
        <w:fldChar w:fldCharType="end"/>
      </w:r>
      <w:r>
        <w:rPr>
          <w:lang w:val="en-US"/>
        </w:rPr>
        <w:t>:</w:t>
      </w:r>
    </w:p>
    <w:tbl>
      <w:tblPr>
        <w:tblStyle w:val="TableGrid"/>
        <w:tblW w:w="0" w:type="auto"/>
        <w:tblInd w:w="0" w:type="dxa"/>
        <w:tblLook w:val="04A0" w:firstRow="1" w:lastRow="0" w:firstColumn="1" w:lastColumn="0" w:noHBand="0" w:noVBand="1"/>
      </w:tblPr>
      <w:tblGrid>
        <w:gridCol w:w="9631"/>
      </w:tblGrid>
      <w:tr w:rsidR="00057C9C" w14:paraId="68732D45" w14:textId="77777777" w:rsidTr="00871822">
        <w:tc>
          <w:tcPr>
            <w:tcW w:w="9631" w:type="dxa"/>
          </w:tcPr>
          <w:p w14:paraId="4C8423BA" w14:textId="77777777" w:rsidR="00057C9C" w:rsidRPr="00871822" w:rsidRDefault="00057C9C" w:rsidP="00871822">
            <w:pPr>
              <w:rPr>
                <w:lang w:val="en-US"/>
              </w:rPr>
            </w:pPr>
            <w:r>
              <w:rPr>
                <w:lang w:val="en-US"/>
              </w:rPr>
              <w:t>Agreement:</w:t>
            </w:r>
          </w:p>
          <w:p w14:paraId="045B7D14" w14:textId="77777777" w:rsidR="00057C9C" w:rsidRPr="00871822" w:rsidRDefault="00057C9C" w:rsidP="00057C9C">
            <w:pPr>
              <w:pStyle w:val="ListParagraph"/>
              <w:numPr>
                <w:ilvl w:val="0"/>
                <w:numId w:val="22"/>
              </w:numPr>
              <w:rPr>
                <w:lang w:val="en-US"/>
              </w:rPr>
            </w:pPr>
            <w:r w:rsidRPr="00643ABD">
              <w:t>To enhance NTN-TN cell reselection, means are defined for a UE to differentiate when camping in an area only covered by NTN network (earth-moving or earth-fixed) vs an area where TN network(s) is/are also available.</w:t>
            </w:r>
          </w:p>
          <w:p w14:paraId="44DA07F6" w14:textId="77777777" w:rsidR="00057C9C" w:rsidRPr="00871822" w:rsidRDefault="00057C9C" w:rsidP="00871822">
            <w:pPr>
              <w:pStyle w:val="ListParagraph"/>
              <w:ind w:left="360"/>
              <w:rPr>
                <w:lang w:val="en-US"/>
              </w:rPr>
            </w:pPr>
          </w:p>
          <w:p w14:paraId="7B703BD6" w14:textId="77777777" w:rsidR="00057C9C" w:rsidRPr="00871822" w:rsidRDefault="00057C9C" w:rsidP="00057C9C">
            <w:pPr>
              <w:pStyle w:val="ListParagraph"/>
              <w:numPr>
                <w:ilvl w:val="0"/>
                <w:numId w:val="22"/>
              </w:numPr>
              <w:rPr>
                <w:lang w:val="en-US"/>
              </w:rPr>
            </w:pPr>
            <w:r w:rsidRPr="00643ABD">
              <w:t>UE is not required to perform neighbour cell measurements for TN neighbour cells in an area where there is no TN network coverage.</w:t>
            </w:r>
          </w:p>
          <w:p w14:paraId="1BB467EC" w14:textId="77777777" w:rsidR="00057C9C" w:rsidRPr="00FE7098" w:rsidRDefault="00057C9C" w:rsidP="00871822">
            <w:pPr>
              <w:pStyle w:val="ListParagraph"/>
              <w:rPr>
                <w:lang w:val="en-US"/>
              </w:rPr>
            </w:pPr>
          </w:p>
          <w:p w14:paraId="730380DA" w14:textId="77777777" w:rsidR="00057C9C" w:rsidRPr="00485475" w:rsidRDefault="00057C9C" w:rsidP="00057C9C">
            <w:pPr>
              <w:pStyle w:val="ListParagraph"/>
              <w:numPr>
                <w:ilvl w:val="0"/>
                <w:numId w:val="22"/>
              </w:numPr>
              <w:rPr>
                <w:lang w:val="en-US"/>
              </w:rPr>
            </w:pPr>
            <w:r w:rsidRPr="00643ABD">
              <w:t xml:space="preserve">The method of detecting the transmission energy or SIB presence to determine the NTN coverage when a UE </w:t>
            </w:r>
            <w:r>
              <w:t xml:space="preserve">- </w:t>
            </w:r>
            <w:r w:rsidRPr="00643ABD">
              <w:t>currently camps on a TN cell is not pursued.</w:t>
            </w:r>
          </w:p>
        </w:tc>
      </w:tr>
    </w:tbl>
    <w:p w14:paraId="0346453B" w14:textId="35E67E58" w:rsidR="00057C9C" w:rsidRDefault="00A62134" w:rsidP="00057C9C">
      <w:pPr>
        <w:rPr>
          <w:lang w:val="en-US"/>
        </w:rPr>
      </w:pPr>
      <w:r>
        <w:br/>
      </w:r>
      <w:r w:rsidR="00057C9C">
        <w:t>Following previous RAN2 discussions, it has been recognised that in a scenario with UE which is</w:t>
      </w:r>
      <w:r w:rsidR="005174D0">
        <w:t xml:space="preserve"> under</w:t>
      </w:r>
      <w:r w:rsidR="00057C9C">
        <w:t xml:space="preserve"> TN coverage, it would be beneficial to start searching for NTN cells only when needed. Vice versa, a UE under NTN coverage could benefit from re-selecting to a TN cell when the UE is located close enough to the TN coverage area. In both scenarios, the unnecessary UE cell search (for TN or NTN) should be avoided to minimize the UE power consumption.</w:t>
      </w:r>
    </w:p>
    <w:p w14:paraId="39DA99AA" w14:textId="6689D62D" w:rsidR="00057C9C" w:rsidRDefault="00057C9C" w:rsidP="00057C9C">
      <w:pPr>
        <w:jc w:val="both"/>
        <w:rPr>
          <w:b/>
          <w:bCs/>
        </w:rPr>
      </w:pPr>
      <w:r w:rsidRPr="007E7903">
        <w:rPr>
          <w:b/>
          <w:bCs/>
        </w:rPr>
        <w:t xml:space="preserve">Observation </w:t>
      </w:r>
      <w:r w:rsidR="00376C2D">
        <w:rPr>
          <w:b/>
          <w:bCs/>
        </w:rPr>
        <w:t>2</w:t>
      </w:r>
      <w:r w:rsidRPr="007E7903">
        <w:rPr>
          <w:b/>
          <w:bCs/>
        </w:rPr>
        <w:t xml:space="preserve">: It is beneficial for the power saving purposes if the UE can measure for NTN or TN coverage only when relevant. </w:t>
      </w:r>
    </w:p>
    <w:p w14:paraId="60EB393D" w14:textId="152BA3E2" w:rsidR="005E58F5" w:rsidRDefault="005E58F5" w:rsidP="00057C9C">
      <w:pPr>
        <w:jc w:val="both"/>
      </w:pPr>
      <w:r>
        <w:t xml:space="preserve">As indicated above, it was also agreed, that the method of detecting the transmission energy or SIB presence </w:t>
      </w:r>
      <w:r w:rsidR="00AE2BBB">
        <w:t xml:space="preserve">to determine NTN coverage </w:t>
      </w:r>
      <w:r>
        <w:t>is not pursued. However, we believe that th</w:t>
      </w:r>
      <w:r w:rsidR="000870C7">
        <w:t>is approach</w:t>
      </w:r>
      <w:r>
        <w:t xml:space="preserve"> has not been </w:t>
      </w:r>
      <w:r w:rsidR="005174D0">
        <w:t>fully</w:t>
      </w:r>
      <w:r>
        <w:t xml:space="preserve"> understood. Hence, we want to add more explanation in the following</w:t>
      </w:r>
      <w:r w:rsidR="000870C7">
        <w:t xml:space="preserve"> paragraph</w:t>
      </w:r>
      <w:r>
        <w:t>.</w:t>
      </w:r>
    </w:p>
    <w:p w14:paraId="7A40C873" w14:textId="18DC6A80" w:rsidR="00D422A1" w:rsidRDefault="005E58F5" w:rsidP="00057C9C">
      <w:pPr>
        <w:jc w:val="both"/>
      </w:pPr>
      <w:r>
        <w:t xml:space="preserve">Let us consider the scenario, where there is an NTN user close to the TN coverage. The TN cell can detect this NTN user in its vicinity, e.g. based on </w:t>
      </w:r>
      <w:r w:rsidRPr="005E58F5">
        <w:t>transmission energy detection and/or reception/decoding of the NTN SIB</w:t>
      </w:r>
      <w:r>
        <w:t xml:space="preserve">. With this knowledge, the TN can notify the NTN </w:t>
      </w:r>
      <w:r w:rsidR="00D422A1">
        <w:t>that a NTN-connected UE is in TN coverage</w:t>
      </w:r>
      <w:r>
        <w:t xml:space="preserve">, thereby </w:t>
      </w:r>
      <w:r w:rsidR="00D422A1">
        <w:t>aiding the reselection</w:t>
      </w:r>
      <w:r w:rsidR="006C1C72">
        <w:t>/cell change</w:t>
      </w:r>
      <w:r w:rsidR="00D422A1">
        <w:t>.</w:t>
      </w:r>
      <w:r w:rsidR="00C11B72">
        <w:t xml:space="preserve"> Hence, this method is not to determine the NTN coverage, but to find an NTN UE within/at the border of TN coverage.</w:t>
      </w:r>
    </w:p>
    <w:p w14:paraId="1245CF34" w14:textId="79F9EA7C" w:rsidR="00057C9C" w:rsidRPr="00871822" w:rsidRDefault="00057C9C" w:rsidP="00057C9C">
      <w:pPr>
        <w:jc w:val="both"/>
        <w:rPr>
          <w:b/>
          <w:bCs/>
        </w:rPr>
      </w:pPr>
      <w:r w:rsidRPr="007F7B5D">
        <w:rPr>
          <w:b/>
        </w:rPr>
        <w:t xml:space="preserve">Proposal </w:t>
      </w:r>
      <w:r w:rsidR="00376C2D" w:rsidRPr="007F7B5D">
        <w:rPr>
          <w:b/>
          <w:bCs/>
        </w:rPr>
        <w:t>5</w:t>
      </w:r>
      <w:r w:rsidRPr="007F7B5D">
        <w:rPr>
          <w:b/>
        </w:rPr>
        <w:t>: RAN2 is asked to re-consider the method of detecting the transmission energy or SIB presence</w:t>
      </w:r>
      <w:r w:rsidR="005E58F5" w:rsidRPr="007F7B5D">
        <w:rPr>
          <w:b/>
          <w:bCs/>
        </w:rPr>
        <w:t xml:space="preserve"> to</w:t>
      </w:r>
      <w:r w:rsidR="00AD153D">
        <w:rPr>
          <w:b/>
          <w:bCs/>
        </w:rPr>
        <w:t xml:space="preserve"> find NTN UEs </w:t>
      </w:r>
      <w:r w:rsidR="00C11B72">
        <w:rPr>
          <w:b/>
          <w:bCs/>
        </w:rPr>
        <w:t>at the border of</w:t>
      </w:r>
      <w:r w:rsidR="00AD153D">
        <w:rPr>
          <w:b/>
          <w:bCs/>
        </w:rPr>
        <w:t xml:space="preserve"> TN coverage</w:t>
      </w:r>
      <w:r w:rsidRPr="007F7B5D">
        <w:rPr>
          <w:b/>
        </w:rPr>
        <w:t>.</w:t>
      </w:r>
    </w:p>
    <w:p w14:paraId="1B2AAA1A" w14:textId="7396E3D1" w:rsidR="00057C9C" w:rsidRDefault="00D066F2" w:rsidP="00057C9C">
      <w:pPr>
        <w:jc w:val="both"/>
      </w:pPr>
      <w:r>
        <w:lastRenderedPageBreak/>
        <w:t>Alternatively,</w:t>
      </w:r>
      <w:r w:rsidR="009657F7">
        <w:t xml:space="preserve"> </w:t>
      </w:r>
      <w:r>
        <w:t>the assistance information from the NTN cell could be based on information about the location of the relevant TN cells.</w:t>
      </w:r>
      <w:r w:rsidR="00071B9B">
        <w:t xml:space="preserve"> For example, the NTN cell can broadcast one or more </w:t>
      </w:r>
      <w:proofErr w:type="spellStart"/>
      <w:r w:rsidR="00071B9B" w:rsidRPr="007E7903">
        <w:rPr>
          <w:i/>
          <w:iCs/>
        </w:rPr>
        <w:t>distanceThresh</w:t>
      </w:r>
      <w:proofErr w:type="spellEnd"/>
      <w:r w:rsidR="00071B9B" w:rsidRPr="007E7903">
        <w:t xml:space="preserve"> values</w:t>
      </w:r>
      <w:r w:rsidR="00071B9B">
        <w:t xml:space="preserve"> corresponding to relevant neighbouring TN cells, to indicate to the NTN UEs at which locations they should start searching for TN cells.</w:t>
      </w:r>
    </w:p>
    <w:p w14:paraId="70394DFA" w14:textId="03A58C2A" w:rsidR="00DC42F0" w:rsidRDefault="00DC42F0" w:rsidP="00057C9C">
      <w:pPr>
        <w:jc w:val="both"/>
        <w:rPr>
          <w:b/>
          <w:bCs/>
        </w:rPr>
      </w:pPr>
      <w:r w:rsidRPr="007F7B5D">
        <w:rPr>
          <w:b/>
          <w:bCs/>
        </w:rPr>
        <w:t xml:space="preserve">Proposal </w:t>
      </w:r>
      <w:r w:rsidR="00376C2D">
        <w:rPr>
          <w:b/>
          <w:bCs/>
        </w:rPr>
        <w:t>6</w:t>
      </w:r>
      <w:r w:rsidRPr="007F7B5D">
        <w:rPr>
          <w:b/>
          <w:bCs/>
        </w:rPr>
        <w:t xml:space="preserve">: </w:t>
      </w:r>
      <w:r w:rsidR="00EF5A0F" w:rsidRPr="007F7B5D">
        <w:rPr>
          <w:b/>
          <w:bCs/>
        </w:rPr>
        <w:t xml:space="preserve">location information can be included in the system information </w:t>
      </w:r>
      <w:r w:rsidR="00E86422" w:rsidRPr="007F7B5D">
        <w:rPr>
          <w:b/>
          <w:bCs/>
        </w:rPr>
        <w:t>to indicate UEs when start searching for TN/NTN cells</w:t>
      </w:r>
      <w:r w:rsidR="00376C2D">
        <w:rPr>
          <w:b/>
          <w:bCs/>
        </w:rPr>
        <w:t xml:space="preserve"> and the UE does not have to search for TN</w:t>
      </w:r>
      <w:r w:rsidR="0018780E">
        <w:rPr>
          <w:b/>
          <w:bCs/>
        </w:rPr>
        <w:t>/NTN</w:t>
      </w:r>
      <w:r w:rsidR="00376C2D">
        <w:rPr>
          <w:b/>
          <w:bCs/>
        </w:rPr>
        <w:t xml:space="preserve"> when not in the indicated area</w:t>
      </w:r>
      <w:r w:rsidR="00E86422" w:rsidRPr="007F7B5D">
        <w:rPr>
          <w:b/>
          <w:bCs/>
        </w:rPr>
        <w:t>.</w:t>
      </w:r>
      <w:r w:rsidRPr="007F7B5D">
        <w:rPr>
          <w:b/>
          <w:bCs/>
        </w:rPr>
        <w:t xml:space="preserve"> </w:t>
      </w:r>
    </w:p>
    <w:p w14:paraId="51861B0A" w14:textId="631B2811" w:rsidR="00D83430" w:rsidRDefault="00C60F47" w:rsidP="00D83430">
      <w:pPr>
        <w:pStyle w:val="Heading1"/>
      </w:pPr>
      <w:r>
        <w:t>4</w:t>
      </w:r>
      <w:r w:rsidR="00D83430" w:rsidRPr="006E13D1">
        <w:tab/>
      </w:r>
      <w:r w:rsidR="00D83430">
        <w:t>NTN-TN cell-reselection in RRC_INACTIVE state</w:t>
      </w:r>
    </w:p>
    <w:p w14:paraId="4B6FC277" w14:textId="2A686339" w:rsidR="00EE265E" w:rsidRDefault="00D83430" w:rsidP="00D83430">
      <w:r>
        <w:t xml:space="preserve">A UE served by the NTN may perform RRC_INACTIVE state cell re-selection to a TN cell. </w:t>
      </w:r>
      <w:r w:rsidR="00DE1AE7">
        <w:t xml:space="preserve">As per the </w:t>
      </w:r>
      <w:r w:rsidR="00EE265E">
        <w:t xml:space="preserve">following </w:t>
      </w:r>
      <w:r w:rsidR="00DE1AE7">
        <w:t xml:space="preserve">SA2 agreements </w:t>
      </w:r>
      <w:r w:rsidR="00EE265E">
        <w:t xml:space="preserve">made in the context of </w:t>
      </w:r>
      <w:r w:rsidR="00DE1AE7">
        <w:t>NTN</w:t>
      </w:r>
      <w:r w:rsidR="00EE265E">
        <w:t>:</w:t>
      </w:r>
    </w:p>
    <w:p w14:paraId="35DBAC5E" w14:textId="23DD029F" w:rsidR="00D83430" w:rsidRDefault="00EE265E" w:rsidP="00EE265E">
      <w:pPr>
        <w:pStyle w:val="ListParagraph"/>
        <w:numPr>
          <w:ilvl w:val="0"/>
          <w:numId w:val="22"/>
        </w:numPr>
      </w:pPr>
      <w:r>
        <w:t>Clause 5.4.11.2 [</w:t>
      </w:r>
      <w:r w:rsidR="003958F9">
        <w:t>1</w:t>
      </w:r>
      <w:r>
        <w:t xml:space="preserve">]: </w:t>
      </w:r>
      <w:r w:rsidRPr="007F7B5D">
        <w:t>In case of NR satellite access, the RAT Types values "NR(LEO)", "NR(MEO)", "NR(GEO)" and "NR(OTHERSAT)" are used in 5GC to distinguish the different NR satellite access</w:t>
      </w:r>
      <w:r>
        <w:t xml:space="preserve">. </w:t>
      </w:r>
    </w:p>
    <w:p w14:paraId="75768457" w14:textId="70BA5D8F" w:rsidR="00EE265E" w:rsidRDefault="00EE265E" w:rsidP="007F7B5D">
      <w:pPr>
        <w:pStyle w:val="ListParagraph"/>
        <w:numPr>
          <w:ilvl w:val="0"/>
          <w:numId w:val="22"/>
        </w:numPr>
      </w:pPr>
      <w:r>
        <w:t>Clause 5.4.10 [</w:t>
      </w:r>
      <w:r w:rsidR="003958F9">
        <w:t>1</w:t>
      </w:r>
      <w:r>
        <w:t xml:space="preserve">]: </w:t>
      </w:r>
      <w:r w:rsidRPr="007F7B5D">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r>
        <w:t>.</w:t>
      </w:r>
    </w:p>
    <w:p w14:paraId="43D50997" w14:textId="22FAFF97" w:rsidR="00EE265E" w:rsidRDefault="003E063A" w:rsidP="00D83430">
      <w:r>
        <w:t xml:space="preserve">The above agreements imply that, each </w:t>
      </w:r>
      <w:r w:rsidR="003724CF">
        <w:t xml:space="preserve">NTN </w:t>
      </w:r>
      <w:r>
        <w:t xml:space="preserve">RAT Type e.g. NR(LEO), NR(GEO) etc. must be configured with </w:t>
      </w:r>
      <w:r w:rsidR="00C4407D">
        <w:t>non-overlapping</w:t>
      </w:r>
      <w:r>
        <w:t xml:space="preserve"> Tracking Area (TA) or the CN Registration Area or simply Mobility Registration Area (MR</w:t>
      </w:r>
      <w:r w:rsidR="003724CF">
        <w:t>A</w:t>
      </w:r>
      <w:r w:rsidR="00C4407D">
        <w:t>).</w:t>
      </w:r>
      <w:r w:rsidR="003724CF">
        <w:t xml:space="preserve"> Which means that for the NTN and TN overlapping scenarios, the TA or MRA of NTN and TN must be clearly defined without an overlap.</w:t>
      </w:r>
    </w:p>
    <w:p w14:paraId="6A275E06" w14:textId="38A421F3" w:rsidR="003724CF" w:rsidRPr="007F7B5D" w:rsidRDefault="003724CF" w:rsidP="003724CF">
      <w:pPr>
        <w:rPr>
          <w:b/>
          <w:bCs/>
        </w:rPr>
      </w:pPr>
      <w:r w:rsidRPr="007F7B5D">
        <w:rPr>
          <w:b/>
          <w:bCs/>
        </w:rPr>
        <w:t xml:space="preserve">Observation </w:t>
      </w:r>
      <w:r w:rsidR="003958F9" w:rsidRPr="007F7B5D">
        <w:rPr>
          <w:b/>
          <w:bCs/>
        </w:rPr>
        <w:t>3</w:t>
      </w:r>
      <w:r w:rsidRPr="007F7B5D">
        <w:rPr>
          <w:b/>
          <w:bCs/>
        </w:rPr>
        <w:t xml:space="preserve">: Each NTN RAT Type e.g. NR(LEO), NR(GEO) etc. must be configured with non-overlapping Tracking Area (TA) or the CN Registration Area or simply Mobility Registration Area (MRA). </w:t>
      </w:r>
    </w:p>
    <w:p w14:paraId="0F63F3E1" w14:textId="0BB72971" w:rsidR="003724CF" w:rsidRPr="007F7B5D" w:rsidRDefault="003724CF" w:rsidP="003724CF">
      <w:pPr>
        <w:rPr>
          <w:b/>
          <w:bCs/>
        </w:rPr>
      </w:pPr>
      <w:r w:rsidRPr="007F7B5D">
        <w:rPr>
          <w:b/>
          <w:bCs/>
        </w:rPr>
        <w:t xml:space="preserve">Observation </w:t>
      </w:r>
      <w:r w:rsidR="003958F9" w:rsidRPr="007F7B5D">
        <w:rPr>
          <w:b/>
          <w:bCs/>
        </w:rPr>
        <w:t>4</w:t>
      </w:r>
      <w:r w:rsidRPr="007F7B5D">
        <w:rPr>
          <w:b/>
          <w:bCs/>
        </w:rPr>
        <w:t>: For the NTN and TN overlapping scenarios, the TA or MRA of NTN and TN must be clearly defined without an overlap.</w:t>
      </w:r>
    </w:p>
    <w:p w14:paraId="394241A3" w14:textId="3E97455C" w:rsidR="000671A1" w:rsidRDefault="000671A1" w:rsidP="003724CF">
      <w:r>
        <w:t>Following deployment scenarios may be possible for NTN:</w:t>
      </w:r>
    </w:p>
    <w:p w14:paraId="549EA687" w14:textId="77777777" w:rsidR="000671A1" w:rsidRDefault="000671A1" w:rsidP="007F7B5D">
      <w:pPr>
        <w:pStyle w:val="ListParagraph"/>
        <w:numPr>
          <w:ilvl w:val="0"/>
          <w:numId w:val="24"/>
        </w:numPr>
        <w:spacing w:after="0"/>
        <w:jc w:val="both"/>
      </w:pPr>
      <w:r>
        <w:t>NTN deployed with PLMN different from TN</w:t>
      </w:r>
    </w:p>
    <w:p w14:paraId="47845A7E" w14:textId="77777777" w:rsidR="000671A1" w:rsidRDefault="000671A1" w:rsidP="007F7B5D">
      <w:pPr>
        <w:pStyle w:val="ListParagraph"/>
        <w:numPr>
          <w:ilvl w:val="0"/>
          <w:numId w:val="24"/>
        </w:numPr>
        <w:spacing w:after="0"/>
        <w:jc w:val="both"/>
      </w:pPr>
      <w:r>
        <w:t>NTN and TN deployed with Equivalent PLMN (EPLMN)</w:t>
      </w:r>
    </w:p>
    <w:p w14:paraId="4C4C9E75" w14:textId="5DE2A6D9" w:rsidR="000671A1" w:rsidRDefault="000671A1" w:rsidP="007F7B5D">
      <w:pPr>
        <w:pStyle w:val="ListParagraph"/>
        <w:numPr>
          <w:ilvl w:val="0"/>
          <w:numId w:val="24"/>
        </w:numPr>
        <w:spacing w:after="0"/>
        <w:jc w:val="both"/>
      </w:pPr>
      <w:r>
        <w:t>NTN and TN deployed with common PLMN</w:t>
      </w:r>
    </w:p>
    <w:p w14:paraId="5B27B343" w14:textId="637CB2A2" w:rsidR="00434D2D" w:rsidRDefault="00434D2D" w:rsidP="00434D2D">
      <w:pPr>
        <w:spacing w:after="0"/>
        <w:jc w:val="both"/>
      </w:pPr>
    </w:p>
    <w:p w14:paraId="41DDDCC0" w14:textId="59902C16" w:rsidR="00434D2D" w:rsidRDefault="00BF2D69" w:rsidP="00434D2D">
      <w:pPr>
        <w:spacing w:after="0"/>
        <w:jc w:val="both"/>
      </w:pPr>
      <w:r>
        <w:t xml:space="preserve">If we consider NTN and TN overlapping scenarios for an </w:t>
      </w:r>
      <w:r w:rsidR="008C7464">
        <w:t>RRC_INACTIVE state UE</w:t>
      </w:r>
      <w:r>
        <w:t>, the following scenarios are most likely:</w:t>
      </w:r>
    </w:p>
    <w:p w14:paraId="0AF833AB" w14:textId="1865AD07" w:rsidR="00BF2D69" w:rsidRDefault="00BF2D69" w:rsidP="00BF2D69">
      <w:pPr>
        <w:pStyle w:val="ListParagraph"/>
        <w:numPr>
          <w:ilvl w:val="0"/>
          <w:numId w:val="22"/>
        </w:numPr>
        <w:spacing w:after="0"/>
        <w:jc w:val="both"/>
      </w:pPr>
      <w:r>
        <w:t>RRC_INACTIVE state UE served by NTN cell re-selects a TN cell,</w:t>
      </w:r>
    </w:p>
    <w:p w14:paraId="755E987B" w14:textId="2D21EE36" w:rsidR="00BF2D69" w:rsidRDefault="00BF2D69" w:rsidP="00BF2D69">
      <w:pPr>
        <w:pStyle w:val="ListParagraph"/>
        <w:numPr>
          <w:ilvl w:val="0"/>
          <w:numId w:val="22"/>
        </w:numPr>
        <w:spacing w:after="0"/>
        <w:jc w:val="both"/>
      </w:pPr>
      <w:r>
        <w:t>RRC_INACTIVE state UE served by TN cell re-selects an NTN cell</w:t>
      </w:r>
    </w:p>
    <w:p w14:paraId="09BC6510" w14:textId="4C792DBA" w:rsidR="00BF2D69" w:rsidRDefault="00BF2D69" w:rsidP="00BF2D69">
      <w:pPr>
        <w:spacing w:after="0"/>
        <w:jc w:val="both"/>
      </w:pPr>
    </w:p>
    <w:p w14:paraId="5FDC2776" w14:textId="14548D1A" w:rsidR="00BF2D69" w:rsidRDefault="00BF2D69" w:rsidP="00BF2D69">
      <w:pPr>
        <w:spacing w:after="0"/>
        <w:jc w:val="both"/>
      </w:pPr>
      <w:r>
        <w:t xml:space="preserve">In both the above-mentioned </w:t>
      </w:r>
      <w:r w:rsidR="00312A4B">
        <w:t>likely scenarios</w:t>
      </w:r>
      <w:r>
        <w:t xml:space="preserve">, </w:t>
      </w:r>
      <w:r w:rsidR="00312A4B">
        <w:t>it may be desirable to allow a</w:t>
      </w:r>
      <w:r w:rsidR="00420D0C">
        <w:t xml:space="preserve"> UE </w:t>
      </w:r>
      <w:r w:rsidR="003D5086">
        <w:t xml:space="preserve">in RRC_INACTIVE state </w:t>
      </w:r>
      <w:r w:rsidR="00420D0C">
        <w:t xml:space="preserve">to re-select from NTN cell to TN cell or vice-versa </w:t>
      </w:r>
      <w:r w:rsidR="003D5086">
        <w:t>without a RRC state transition i.e., either to RRC_CONNECTED or to RRC_IDLE</w:t>
      </w:r>
      <w:r w:rsidR="00993DAE">
        <w:t xml:space="preserve"> while preserving the existing PDU sessions and configured DRBs.</w:t>
      </w:r>
    </w:p>
    <w:p w14:paraId="730CA957" w14:textId="77777777" w:rsidR="00A24D46" w:rsidRDefault="00A24D46" w:rsidP="00BF2D69">
      <w:pPr>
        <w:spacing w:after="0"/>
        <w:jc w:val="both"/>
      </w:pPr>
    </w:p>
    <w:p w14:paraId="0BF4964F" w14:textId="0CBD9671" w:rsidR="003D5086" w:rsidRPr="007F7B5D" w:rsidRDefault="003D5086" w:rsidP="003D5086">
      <w:pPr>
        <w:spacing w:after="0"/>
        <w:jc w:val="both"/>
        <w:rPr>
          <w:b/>
          <w:bCs/>
        </w:rPr>
      </w:pPr>
      <w:r w:rsidRPr="007F7B5D">
        <w:rPr>
          <w:b/>
          <w:bCs/>
        </w:rPr>
        <w:t xml:space="preserve">Observation </w:t>
      </w:r>
      <w:r w:rsidR="003958F9" w:rsidRPr="007F7B5D">
        <w:rPr>
          <w:b/>
          <w:bCs/>
        </w:rPr>
        <w:t>5</w:t>
      </w:r>
      <w:r w:rsidRPr="007F7B5D">
        <w:rPr>
          <w:b/>
          <w:bCs/>
        </w:rPr>
        <w:t>: It may be desirable to allow a UE in RRC_INACTIVE state to re-select from NTN cell to TN cell or vice-versa without a RRC state transition i.e., either to RRC_CONNECTED or to RRC_IDLE.</w:t>
      </w:r>
    </w:p>
    <w:p w14:paraId="41EE5356" w14:textId="6EFFE008" w:rsidR="003D5086" w:rsidRDefault="003D5086" w:rsidP="003D5086">
      <w:pPr>
        <w:spacing w:after="0"/>
        <w:jc w:val="both"/>
      </w:pPr>
    </w:p>
    <w:p w14:paraId="69429248" w14:textId="72AF04FC" w:rsidR="003D5086" w:rsidRDefault="00A24D46" w:rsidP="003D5086">
      <w:pPr>
        <w:spacing w:after="0"/>
        <w:jc w:val="both"/>
      </w:pPr>
      <w:r>
        <w:t xml:space="preserve">Due to SA2 agreements for NTN, as captured above, when an RRC_INACTIVE state UE re-selects from NTN cell to TN cell or vice-versa, UE must trigger Mobility Registration Area Update procedure to inform the AMF that it has entered a new Tracking Area (TA) or Mobility Registration Area (MRA). </w:t>
      </w:r>
    </w:p>
    <w:p w14:paraId="5E276056" w14:textId="27A7A1A7" w:rsidR="00A24D46" w:rsidRDefault="00A24D46" w:rsidP="003D5086">
      <w:pPr>
        <w:spacing w:after="0"/>
        <w:jc w:val="both"/>
      </w:pPr>
    </w:p>
    <w:p w14:paraId="68F166BD" w14:textId="60411DFA" w:rsidR="00A24D46" w:rsidRPr="007F7B5D" w:rsidRDefault="00A24D46" w:rsidP="003D5086">
      <w:pPr>
        <w:spacing w:after="0"/>
        <w:jc w:val="both"/>
        <w:rPr>
          <w:b/>
          <w:bCs/>
        </w:rPr>
      </w:pPr>
      <w:r w:rsidRPr="007F7B5D">
        <w:rPr>
          <w:b/>
          <w:bCs/>
        </w:rPr>
        <w:t xml:space="preserve">Observation </w:t>
      </w:r>
      <w:r w:rsidR="003958F9" w:rsidRPr="007F7B5D">
        <w:rPr>
          <w:b/>
          <w:bCs/>
        </w:rPr>
        <w:t>6</w:t>
      </w:r>
      <w:r w:rsidRPr="007F7B5D">
        <w:rPr>
          <w:b/>
          <w:bCs/>
        </w:rPr>
        <w:t>: When an RRC_INACTIVE state UE re-selects from NTN cell to TN cell or vice-versa, UE must trigger Mobility Registration Area Update procedure to inform the AMF that it has entered a new Tracking Area (TA) or Mobility Registration Area (MRA).</w:t>
      </w:r>
    </w:p>
    <w:p w14:paraId="0CACCC5A" w14:textId="77777777" w:rsidR="00A24D46" w:rsidRPr="007F7B5D" w:rsidRDefault="00A24D46" w:rsidP="003D5086">
      <w:pPr>
        <w:spacing w:after="0"/>
        <w:jc w:val="both"/>
        <w:rPr>
          <w:b/>
          <w:bCs/>
        </w:rPr>
      </w:pPr>
    </w:p>
    <w:p w14:paraId="64F15869" w14:textId="3D27F11D" w:rsidR="00A24D46" w:rsidRPr="007F7B5D" w:rsidRDefault="00A24D46" w:rsidP="003D5086">
      <w:pPr>
        <w:spacing w:after="0"/>
        <w:jc w:val="both"/>
        <w:rPr>
          <w:b/>
          <w:bCs/>
        </w:rPr>
      </w:pPr>
      <w:r w:rsidRPr="007F7B5D">
        <w:rPr>
          <w:b/>
          <w:bCs/>
        </w:rPr>
        <w:t>Proposal</w:t>
      </w:r>
      <w:r w:rsidR="002E0A86" w:rsidRPr="007F7B5D">
        <w:rPr>
          <w:b/>
          <w:bCs/>
        </w:rPr>
        <w:t xml:space="preserve"> </w:t>
      </w:r>
      <w:r w:rsidR="003958F9" w:rsidRPr="007F7B5D">
        <w:rPr>
          <w:b/>
          <w:bCs/>
        </w:rPr>
        <w:t>3</w:t>
      </w:r>
      <w:r w:rsidR="002E0A86" w:rsidRPr="007F7B5D">
        <w:rPr>
          <w:b/>
          <w:bCs/>
        </w:rPr>
        <w:t>: RAN2 to discuss how to enable an RRC_INACTIVE state UE to re-select from NTN cell to TN cell or vice-versa without an RRC</w:t>
      </w:r>
      <w:r w:rsidR="00993DAE" w:rsidRPr="007F7B5D">
        <w:rPr>
          <w:b/>
          <w:bCs/>
        </w:rPr>
        <w:t xml:space="preserve"> state </w:t>
      </w:r>
      <w:r w:rsidR="002E0A86" w:rsidRPr="007F7B5D">
        <w:rPr>
          <w:b/>
          <w:bCs/>
        </w:rPr>
        <w:t>transition</w:t>
      </w:r>
      <w:r w:rsidR="00993DAE" w:rsidRPr="007F7B5D">
        <w:rPr>
          <w:b/>
          <w:bCs/>
        </w:rPr>
        <w:t xml:space="preserve"> to RRC_CONNECTED or to RRC_IDLE</w:t>
      </w:r>
      <w:r w:rsidR="002E0A86" w:rsidRPr="007F7B5D">
        <w:rPr>
          <w:b/>
          <w:bCs/>
        </w:rPr>
        <w:t>, while preserving the PDU sessions and configured DRBs.</w:t>
      </w:r>
    </w:p>
    <w:p w14:paraId="44D7BF1E" w14:textId="77777777" w:rsidR="00253708" w:rsidRPr="006C0DC2" w:rsidRDefault="00253708" w:rsidP="00B635A2">
      <w:pPr>
        <w:rPr>
          <w:b/>
          <w:bCs/>
        </w:rPr>
      </w:pPr>
    </w:p>
    <w:p w14:paraId="69B7B8E6" w14:textId="0499935F" w:rsidR="009339CB" w:rsidRPr="006E13D1" w:rsidRDefault="00C60F47" w:rsidP="00DE6A68">
      <w:pPr>
        <w:pStyle w:val="Heading1"/>
      </w:pPr>
      <w:r>
        <w:lastRenderedPageBreak/>
        <w:t>5</w:t>
      </w:r>
      <w:r w:rsidR="009339CB" w:rsidRPr="006E13D1">
        <w:tab/>
      </w:r>
      <w:r w:rsidR="009339CB">
        <w:t>Conclusion</w:t>
      </w:r>
    </w:p>
    <w:p w14:paraId="6E24B0F4" w14:textId="54951313" w:rsidR="009339CB" w:rsidRPr="006E13D1" w:rsidRDefault="009339CB" w:rsidP="009339CB">
      <w:r>
        <w:t>This documents has made the following observations</w:t>
      </w:r>
      <w:r w:rsidR="005F2708">
        <w:t xml:space="preserve"> and proposals</w:t>
      </w:r>
      <w:r>
        <w:t>:</w:t>
      </w:r>
    </w:p>
    <w:p w14:paraId="1C8D7914" w14:textId="77777777" w:rsidR="00927672" w:rsidRPr="007F34EA" w:rsidRDefault="00927672" w:rsidP="00927672">
      <w:pPr>
        <w:rPr>
          <w:b/>
          <w:bCs/>
          <w:lang w:val="en-US"/>
        </w:rPr>
      </w:pPr>
      <w:r w:rsidRPr="007F34EA">
        <w:rPr>
          <w:b/>
          <w:bCs/>
          <w:lang w:val="en-US"/>
        </w:rPr>
        <w:t xml:space="preserve">Observation </w:t>
      </w:r>
      <w:r>
        <w:rPr>
          <w:b/>
          <w:bCs/>
          <w:lang w:val="en-US"/>
        </w:rPr>
        <w:t>1</w:t>
      </w:r>
      <w:r w:rsidRPr="007F34EA">
        <w:rPr>
          <w:b/>
          <w:bCs/>
          <w:lang w:val="en-US"/>
        </w:rPr>
        <w:t>: RAN2 left FFS whether the serving cell signals cell-specific parameters for UE to estimate when the serving cell stops cellular coverage.</w:t>
      </w:r>
    </w:p>
    <w:p w14:paraId="7A6ABAD8" w14:textId="77777777" w:rsidR="00927672" w:rsidRPr="007F34EA" w:rsidRDefault="00927672" w:rsidP="00927672">
      <w:pPr>
        <w:rPr>
          <w:b/>
          <w:bCs/>
          <w:lang w:val="en-US"/>
        </w:rPr>
      </w:pPr>
      <w:r w:rsidRPr="007F34EA">
        <w:rPr>
          <w:b/>
          <w:bCs/>
          <w:lang w:val="en-US"/>
        </w:rPr>
        <w:t xml:space="preserve">Proposal </w:t>
      </w:r>
      <w:r>
        <w:rPr>
          <w:b/>
          <w:bCs/>
          <w:lang w:val="en-US"/>
        </w:rPr>
        <w:t>1</w:t>
      </w:r>
      <w:r w:rsidRPr="007F34EA">
        <w:rPr>
          <w:b/>
          <w:bCs/>
          <w:lang w:val="en-US"/>
        </w:rPr>
        <w:t>: For Earth-moving cells, RAN2 to discuss whether there exist alternatives to the UE estimating when the serving cell stops coverage.</w:t>
      </w:r>
    </w:p>
    <w:p w14:paraId="79D658C1" w14:textId="77777777" w:rsidR="00927672" w:rsidRDefault="00927672" w:rsidP="00927672">
      <w:pPr>
        <w:rPr>
          <w:lang w:val="en-US"/>
        </w:rPr>
      </w:pPr>
      <w:r w:rsidRPr="007F34EA">
        <w:rPr>
          <w:b/>
          <w:bCs/>
          <w:lang w:val="en-US"/>
        </w:rPr>
        <w:t xml:space="preserve">Proposal </w:t>
      </w:r>
      <w:r>
        <w:rPr>
          <w:b/>
          <w:bCs/>
          <w:lang w:val="en-US"/>
        </w:rPr>
        <w:t>2</w:t>
      </w:r>
      <w:r w:rsidRPr="007F34EA">
        <w:rPr>
          <w:b/>
          <w:bCs/>
          <w:lang w:val="en-US"/>
        </w:rPr>
        <w:t>:</w:t>
      </w:r>
      <w:r>
        <w:rPr>
          <w:lang w:val="en-US"/>
        </w:rPr>
        <w:t xml:space="preserve"> </w:t>
      </w:r>
      <w:r w:rsidRPr="00DB3ECF">
        <w:rPr>
          <w:b/>
          <w:bCs/>
        </w:rPr>
        <w:t xml:space="preserve">UE performs individual estimation, considering satellite’s ephemeris, </w:t>
      </w:r>
      <w:r>
        <w:rPr>
          <w:b/>
          <w:bCs/>
        </w:rPr>
        <w:t xml:space="preserve">serving </w:t>
      </w:r>
      <w:r w:rsidRPr="00DB3ECF">
        <w:rPr>
          <w:b/>
          <w:bCs/>
        </w:rPr>
        <w:t>cell reference location</w:t>
      </w:r>
      <w:r>
        <w:rPr>
          <w:b/>
          <w:bCs/>
        </w:rPr>
        <w:t>, serving cell distance threshold</w:t>
      </w:r>
      <w:r w:rsidRPr="00DB3ECF">
        <w:rPr>
          <w:b/>
          <w:bCs/>
        </w:rPr>
        <w:t xml:space="preserve"> and its own location to enable location-based reselections in Earth-moving scenario.</w:t>
      </w:r>
    </w:p>
    <w:p w14:paraId="184416F2" w14:textId="77777777" w:rsidR="00927672" w:rsidRPr="007F34EA" w:rsidRDefault="00927672" w:rsidP="00927672">
      <w:pPr>
        <w:rPr>
          <w:b/>
          <w:bCs/>
          <w:lang w:val="en-US"/>
        </w:rPr>
      </w:pPr>
      <w:r w:rsidRPr="007F34EA">
        <w:rPr>
          <w:b/>
          <w:bCs/>
          <w:lang w:val="en-US"/>
        </w:rPr>
        <w:t xml:space="preserve">Proposal </w:t>
      </w:r>
      <w:r>
        <w:rPr>
          <w:b/>
          <w:bCs/>
          <w:lang w:val="en-US"/>
        </w:rPr>
        <w:t>3</w:t>
      </w:r>
      <w:r w:rsidRPr="007F34EA">
        <w:rPr>
          <w:b/>
          <w:bCs/>
          <w:lang w:val="en-US"/>
        </w:rPr>
        <w:t>: Considering the agreements taken in the RAN2#119bis meeting, the reference location and distance threshold of serving cell shall be provided to the UE via system information.</w:t>
      </w:r>
    </w:p>
    <w:p w14:paraId="2277546F" w14:textId="3EB6CF27" w:rsidR="009339CB" w:rsidRDefault="00927672" w:rsidP="009339CB">
      <w:pPr>
        <w:rPr>
          <w:b/>
          <w:bCs/>
        </w:rPr>
      </w:pPr>
      <w:r w:rsidRPr="004C03FB">
        <w:rPr>
          <w:b/>
          <w:bCs/>
        </w:rPr>
        <w:t>Proposal</w:t>
      </w:r>
      <w:r>
        <w:rPr>
          <w:b/>
          <w:bCs/>
        </w:rPr>
        <w:t xml:space="preserve"> 4</w:t>
      </w:r>
      <w:r w:rsidRPr="004C03FB">
        <w:rPr>
          <w:b/>
          <w:bCs/>
        </w:rPr>
        <w:t xml:space="preserve">: The reference location and distance threshold </w:t>
      </w:r>
      <w:r>
        <w:rPr>
          <w:b/>
          <w:bCs/>
        </w:rPr>
        <w:t>can</w:t>
      </w:r>
      <w:r w:rsidRPr="004C03FB">
        <w:rPr>
          <w:b/>
          <w:bCs/>
        </w:rPr>
        <w:t xml:space="preserve"> also be provided for neighbo</w:t>
      </w:r>
      <w:r w:rsidR="007F7B5D">
        <w:rPr>
          <w:b/>
          <w:bCs/>
        </w:rPr>
        <w:t>u</w:t>
      </w:r>
      <w:r w:rsidRPr="004C03FB">
        <w:rPr>
          <w:b/>
          <w:bCs/>
        </w:rPr>
        <w:t>r cells.</w:t>
      </w:r>
    </w:p>
    <w:p w14:paraId="41724FDC" w14:textId="77777777" w:rsidR="00927672" w:rsidRDefault="00927672" w:rsidP="00927672">
      <w:pPr>
        <w:jc w:val="both"/>
        <w:rPr>
          <w:b/>
          <w:bCs/>
        </w:rPr>
      </w:pPr>
      <w:r w:rsidRPr="007E7903">
        <w:rPr>
          <w:b/>
          <w:bCs/>
        </w:rPr>
        <w:t xml:space="preserve">Observation </w:t>
      </w:r>
      <w:r>
        <w:rPr>
          <w:b/>
          <w:bCs/>
        </w:rPr>
        <w:t>2</w:t>
      </w:r>
      <w:r w:rsidRPr="007E7903">
        <w:rPr>
          <w:b/>
          <w:bCs/>
        </w:rPr>
        <w:t xml:space="preserve">: It is beneficial for the power saving purposes if the UE can measure for NTN or TN coverage only when relevant. </w:t>
      </w:r>
    </w:p>
    <w:p w14:paraId="157EE9EE" w14:textId="77777777" w:rsidR="00927672" w:rsidRPr="00871822" w:rsidRDefault="00927672" w:rsidP="00927672">
      <w:pPr>
        <w:jc w:val="both"/>
        <w:rPr>
          <w:b/>
          <w:bCs/>
        </w:rPr>
      </w:pPr>
      <w:r w:rsidRPr="007F34EA">
        <w:rPr>
          <w:b/>
        </w:rPr>
        <w:t xml:space="preserve">Proposal </w:t>
      </w:r>
      <w:r w:rsidRPr="007F34EA">
        <w:rPr>
          <w:b/>
          <w:bCs/>
        </w:rPr>
        <w:t>5</w:t>
      </w:r>
      <w:r w:rsidRPr="007F34EA">
        <w:rPr>
          <w:b/>
        </w:rPr>
        <w:t>: RAN2 is asked to re-consider the method of detecting the transmission energy or SIB presence</w:t>
      </w:r>
      <w:r w:rsidRPr="007F34EA">
        <w:rPr>
          <w:b/>
          <w:bCs/>
        </w:rPr>
        <w:t xml:space="preserve"> to</w:t>
      </w:r>
      <w:r>
        <w:rPr>
          <w:b/>
          <w:bCs/>
        </w:rPr>
        <w:t xml:space="preserve"> find NTN UEs at the border of TN coverage</w:t>
      </w:r>
      <w:r w:rsidRPr="007F34EA">
        <w:rPr>
          <w:b/>
        </w:rPr>
        <w:t>.</w:t>
      </w:r>
    </w:p>
    <w:p w14:paraId="24ECD968" w14:textId="77777777" w:rsidR="00927672" w:rsidRDefault="00927672" w:rsidP="00927672">
      <w:pPr>
        <w:jc w:val="both"/>
        <w:rPr>
          <w:b/>
          <w:bCs/>
        </w:rPr>
      </w:pPr>
      <w:r w:rsidRPr="007F34EA">
        <w:rPr>
          <w:b/>
          <w:bCs/>
        </w:rPr>
        <w:t xml:space="preserve">Proposal </w:t>
      </w:r>
      <w:r>
        <w:rPr>
          <w:b/>
          <w:bCs/>
        </w:rPr>
        <w:t>6</w:t>
      </w:r>
      <w:r w:rsidRPr="007F34EA">
        <w:rPr>
          <w:b/>
          <w:bCs/>
        </w:rPr>
        <w:t>: location information can be included in the system information to indicate UEs when start searching for TN/NTN cells</w:t>
      </w:r>
      <w:r>
        <w:rPr>
          <w:b/>
          <w:bCs/>
        </w:rPr>
        <w:t xml:space="preserve"> and the UE does not have to search for TN/NTN when not in the indicated area</w:t>
      </w:r>
      <w:r w:rsidRPr="007F34EA">
        <w:rPr>
          <w:b/>
          <w:bCs/>
        </w:rPr>
        <w:t xml:space="preserve">. </w:t>
      </w:r>
    </w:p>
    <w:p w14:paraId="24317D6B" w14:textId="77777777" w:rsidR="00927672" w:rsidRPr="007F34EA" w:rsidRDefault="00927672" w:rsidP="00927672">
      <w:pPr>
        <w:rPr>
          <w:b/>
          <w:bCs/>
        </w:rPr>
      </w:pPr>
      <w:r w:rsidRPr="007F34EA">
        <w:rPr>
          <w:b/>
          <w:bCs/>
        </w:rPr>
        <w:t xml:space="preserve">Observation 3: Each NTN RAT Type e.g. NR(LEO), NR(GEO) etc. must be configured with non-overlapping Tracking Area (TA) or the CN Registration Area or simply Mobility Registration Area (MRA). </w:t>
      </w:r>
    </w:p>
    <w:p w14:paraId="19A524D3" w14:textId="77777777" w:rsidR="00927672" w:rsidRPr="007F34EA" w:rsidRDefault="00927672" w:rsidP="00927672">
      <w:pPr>
        <w:rPr>
          <w:b/>
          <w:bCs/>
        </w:rPr>
      </w:pPr>
      <w:r w:rsidRPr="007F34EA">
        <w:rPr>
          <w:b/>
          <w:bCs/>
        </w:rPr>
        <w:t>Observation 4: For the NTN and TN overlapping scenarios, the TA or MRA of NTN and TN must be clearly defined without an overlap.</w:t>
      </w:r>
    </w:p>
    <w:p w14:paraId="163E6DFF" w14:textId="77777777" w:rsidR="00927672" w:rsidRPr="007F34EA" w:rsidRDefault="00927672" w:rsidP="00927672">
      <w:pPr>
        <w:spacing w:after="0"/>
        <w:jc w:val="both"/>
        <w:rPr>
          <w:b/>
          <w:bCs/>
        </w:rPr>
      </w:pPr>
      <w:r w:rsidRPr="007F34EA">
        <w:rPr>
          <w:b/>
          <w:bCs/>
        </w:rPr>
        <w:t>Observation 5: It may be desirable to allow a UE in RRC_INACTIVE state to re-select from NTN cell to TN cell or vice-versa without a RRC state transition i.e., either to RRC_CONNECTED or to RRC_IDLE.</w:t>
      </w:r>
    </w:p>
    <w:p w14:paraId="5F1377E6" w14:textId="77777777" w:rsidR="00927672" w:rsidRDefault="00927672" w:rsidP="00927672">
      <w:pPr>
        <w:spacing w:after="0"/>
        <w:jc w:val="both"/>
        <w:rPr>
          <w:b/>
          <w:bCs/>
        </w:rPr>
      </w:pPr>
    </w:p>
    <w:p w14:paraId="140682CC" w14:textId="5D63F74F" w:rsidR="00927672" w:rsidRPr="007F34EA" w:rsidRDefault="00927672" w:rsidP="00927672">
      <w:pPr>
        <w:spacing w:after="0"/>
        <w:jc w:val="both"/>
        <w:rPr>
          <w:b/>
          <w:bCs/>
        </w:rPr>
      </w:pPr>
      <w:r w:rsidRPr="007F34EA">
        <w:rPr>
          <w:b/>
          <w:bCs/>
        </w:rPr>
        <w:t>Observation 6: When an RRC_INACTIVE state UE re-selects from NTN cell to TN cell or vice-versa, UE must trigger Mobility Registration Area Update procedure to inform the AMF that it has entered a new Tracking Area (TA) or Mobility Registration Area (MRA).</w:t>
      </w:r>
    </w:p>
    <w:p w14:paraId="58D47E63" w14:textId="77777777" w:rsidR="00927672" w:rsidRPr="007F34EA" w:rsidRDefault="00927672" w:rsidP="00927672">
      <w:pPr>
        <w:spacing w:after="0"/>
        <w:jc w:val="both"/>
        <w:rPr>
          <w:b/>
          <w:bCs/>
        </w:rPr>
      </w:pPr>
    </w:p>
    <w:p w14:paraId="6B01713B" w14:textId="77777777" w:rsidR="00927672" w:rsidRPr="007F34EA" w:rsidRDefault="00927672" w:rsidP="00927672">
      <w:pPr>
        <w:spacing w:after="0"/>
        <w:jc w:val="both"/>
        <w:rPr>
          <w:b/>
          <w:bCs/>
        </w:rPr>
      </w:pPr>
      <w:r w:rsidRPr="007F34EA">
        <w:rPr>
          <w:b/>
          <w:bCs/>
        </w:rPr>
        <w:t>Proposal 3: RAN2 to discuss how to enable an RRC_INACTIVE state UE to re-select from NTN cell to TN cell or vice-versa without an RRC state transition to RRC_CONNECTED or to RRC_IDLE, while preserving the PDU sessions and configured DRBs.</w:t>
      </w:r>
    </w:p>
    <w:p w14:paraId="5C659E2F" w14:textId="77777777" w:rsidR="00927672" w:rsidRPr="007F7B5D" w:rsidRDefault="00927672" w:rsidP="009339CB"/>
    <w:p w14:paraId="663A0831" w14:textId="77777777" w:rsidR="00040479" w:rsidRDefault="00040479" w:rsidP="00040479">
      <w:pPr>
        <w:pStyle w:val="Heading1"/>
        <w:ind w:left="0" w:firstLine="0"/>
        <w:jc w:val="both"/>
      </w:pPr>
      <w:r>
        <w:t>References</w:t>
      </w:r>
    </w:p>
    <w:p w14:paraId="3C4523C2" w14:textId="0B5DC1EA" w:rsidR="00DE1AE7" w:rsidRDefault="00DE1AE7" w:rsidP="00040479">
      <w:pPr>
        <w:pStyle w:val="ListParagraph"/>
        <w:numPr>
          <w:ilvl w:val="0"/>
          <w:numId w:val="17"/>
        </w:numPr>
        <w:jc w:val="both"/>
      </w:pPr>
      <w:r>
        <w:t>TS 23.501 stage 2 TS System Architecture for 5G system</w:t>
      </w:r>
    </w:p>
    <w:p w14:paraId="2B50520F" w14:textId="77777777" w:rsidR="00C7593B" w:rsidRDefault="00C7593B" w:rsidP="00C7593B">
      <w:pPr>
        <w:pStyle w:val="ListParagraph"/>
        <w:numPr>
          <w:ilvl w:val="0"/>
          <w:numId w:val="17"/>
        </w:numPr>
        <w:jc w:val="both"/>
      </w:pPr>
      <w:bookmarkStart w:id="0" w:name="_Ref109128637"/>
      <w:r>
        <w:t>RP-221819 Revised WID: NR NTN (Non-Terrestrial Networks) enhancements 3GPP TSG RAN Meeting #96 Budapest, Hungary, June 6-9, 2022</w:t>
      </w:r>
      <w:bookmarkEnd w:id="0"/>
    </w:p>
    <w:p w14:paraId="26E4D9B1" w14:textId="063F55C4" w:rsidR="00C7593B" w:rsidRDefault="00C7593B" w:rsidP="00040479">
      <w:pPr>
        <w:pStyle w:val="ListParagraph"/>
        <w:numPr>
          <w:ilvl w:val="0"/>
          <w:numId w:val="17"/>
        </w:numPr>
        <w:jc w:val="both"/>
      </w:pPr>
      <w:bookmarkStart w:id="1" w:name="_Ref118404673"/>
      <w:r>
        <w:t xml:space="preserve">R2-2210801 </w:t>
      </w:r>
      <w:r w:rsidRPr="00C7593B">
        <w:t>Report from Break-out session on NR-NTN and IoT-NTN</w:t>
      </w:r>
      <w:r>
        <w:t xml:space="preserve"> </w:t>
      </w:r>
      <w:r w:rsidRPr="00C7593B">
        <w:t>3GPP TSG-RAN WG2 Meeting #119bis electronic</w:t>
      </w:r>
      <w:bookmarkEnd w:id="1"/>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2AEBE" w14:textId="77777777" w:rsidR="00C97AD1" w:rsidRDefault="00C97AD1">
      <w:r>
        <w:separator/>
      </w:r>
    </w:p>
  </w:endnote>
  <w:endnote w:type="continuationSeparator" w:id="0">
    <w:p w14:paraId="5E387C2B" w14:textId="77777777" w:rsidR="00C97AD1" w:rsidRDefault="00C97AD1">
      <w:r>
        <w:continuationSeparator/>
      </w:r>
    </w:p>
  </w:endnote>
  <w:endnote w:type="continuationNotice" w:id="1">
    <w:p w14:paraId="0089E588" w14:textId="77777777" w:rsidR="00C97AD1" w:rsidRDefault="00C97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2B43" w14:textId="77777777" w:rsidR="00C97AD1" w:rsidRDefault="00C97AD1">
      <w:r>
        <w:separator/>
      </w:r>
    </w:p>
  </w:footnote>
  <w:footnote w:type="continuationSeparator" w:id="0">
    <w:p w14:paraId="3B5CA14D" w14:textId="77777777" w:rsidR="00C97AD1" w:rsidRDefault="00C97AD1">
      <w:r>
        <w:continuationSeparator/>
      </w:r>
    </w:p>
  </w:footnote>
  <w:footnote w:type="continuationNotice" w:id="1">
    <w:p w14:paraId="2C9F7C46" w14:textId="77777777" w:rsidR="00C97AD1" w:rsidRDefault="00C97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A7B63"/>
    <w:multiLevelType w:val="hybridMultilevel"/>
    <w:tmpl w:val="C3C037FC"/>
    <w:lvl w:ilvl="0" w:tplc="61625DA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5262332"/>
    <w:multiLevelType w:val="hybridMultilevel"/>
    <w:tmpl w:val="C03E9CE8"/>
    <w:lvl w:ilvl="0" w:tplc="F5E6FE20">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A36677D"/>
    <w:multiLevelType w:val="hybridMultilevel"/>
    <w:tmpl w:val="F9665BE4"/>
    <w:lvl w:ilvl="0" w:tplc="08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15:restartNumberingAfterBreak="0">
    <w:nsid w:val="10850228"/>
    <w:multiLevelType w:val="hybridMultilevel"/>
    <w:tmpl w:val="F9665BE4"/>
    <w:lvl w:ilvl="0" w:tplc="FFFFFFFF">
      <w:start w:val="1"/>
      <w:numFmt w:val="decimal"/>
      <w:lvlText w:val="%1."/>
      <w:lvlJc w:val="left"/>
      <w:pPr>
        <w:ind w:left="840" w:hanging="420"/>
      </w:pPr>
    </w:lvl>
    <w:lvl w:ilvl="1" w:tplc="FFFFFFFF">
      <w:start w:val="1"/>
      <w:numFmt w:val="lowerLetter"/>
      <w:lvlText w:val="%2)"/>
      <w:lvlJc w:val="left"/>
      <w:pPr>
        <w:ind w:left="1260" w:hanging="420"/>
      </w:pPr>
    </w:lvl>
    <w:lvl w:ilvl="2" w:tplc="FFFFFFFF">
      <w:start w:val="1"/>
      <w:numFmt w:val="lowerRoman"/>
      <w:lvlText w:val="%3."/>
      <w:lvlJc w:val="right"/>
      <w:pPr>
        <w:ind w:left="1680" w:hanging="420"/>
      </w:pPr>
    </w:lvl>
    <w:lvl w:ilvl="3" w:tplc="FFFFFFFF">
      <w:start w:val="1"/>
      <w:numFmt w:val="decimal"/>
      <w:lvlText w:val="%4."/>
      <w:lvlJc w:val="left"/>
      <w:pPr>
        <w:ind w:left="2100" w:hanging="420"/>
      </w:pPr>
    </w:lvl>
    <w:lvl w:ilvl="4" w:tplc="FFFFFFFF">
      <w:start w:val="1"/>
      <w:numFmt w:val="lowerLetter"/>
      <w:lvlText w:val="%5)"/>
      <w:lvlJc w:val="left"/>
      <w:pPr>
        <w:ind w:left="2520" w:hanging="420"/>
      </w:pPr>
    </w:lvl>
    <w:lvl w:ilvl="5" w:tplc="FFFFFFFF">
      <w:start w:val="1"/>
      <w:numFmt w:val="lowerRoman"/>
      <w:lvlText w:val="%6."/>
      <w:lvlJc w:val="right"/>
      <w:pPr>
        <w:ind w:left="2940" w:hanging="420"/>
      </w:pPr>
    </w:lvl>
    <w:lvl w:ilvl="6" w:tplc="FFFFFFFF">
      <w:start w:val="1"/>
      <w:numFmt w:val="decimal"/>
      <w:lvlText w:val="%7."/>
      <w:lvlJc w:val="left"/>
      <w:pPr>
        <w:ind w:left="3360" w:hanging="420"/>
      </w:pPr>
    </w:lvl>
    <w:lvl w:ilvl="7" w:tplc="FFFFFFFF">
      <w:start w:val="1"/>
      <w:numFmt w:val="lowerLetter"/>
      <w:lvlText w:val="%8)"/>
      <w:lvlJc w:val="left"/>
      <w:pPr>
        <w:ind w:left="3780" w:hanging="420"/>
      </w:pPr>
    </w:lvl>
    <w:lvl w:ilvl="8" w:tplc="FFFFFFFF">
      <w:start w:val="1"/>
      <w:numFmt w:val="lowerRoman"/>
      <w:lvlText w:val="%9."/>
      <w:lvlJc w:val="right"/>
      <w:pPr>
        <w:ind w:left="4200" w:hanging="420"/>
      </w:pPr>
    </w:lvl>
  </w:abstractNum>
  <w:abstractNum w:abstractNumId="6" w15:restartNumberingAfterBreak="0">
    <w:nsid w:val="18646411"/>
    <w:multiLevelType w:val="multilevel"/>
    <w:tmpl w:val="41AA6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D64EA"/>
    <w:multiLevelType w:val="hybridMultilevel"/>
    <w:tmpl w:val="57F0F594"/>
    <w:lvl w:ilvl="0" w:tplc="506A4130">
      <w:numFmt w:val="bullet"/>
      <w:lvlText w:val="-"/>
      <w:lvlJc w:val="left"/>
      <w:pPr>
        <w:ind w:left="1140" w:hanging="360"/>
      </w:pPr>
      <w:rPr>
        <w:rFonts w:ascii="Arial" w:eastAsia="Times New Roman" w:hAnsi="Arial" w:cs="Arial" w:hint="default"/>
      </w:rPr>
    </w:lvl>
    <w:lvl w:ilvl="1" w:tplc="40090003">
      <w:start w:val="1"/>
      <w:numFmt w:val="bullet"/>
      <w:lvlText w:val="o"/>
      <w:lvlJc w:val="left"/>
      <w:pPr>
        <w:ind w:left="1860" w:hanging="360"/>
      </w:pPr>
      <w:rPr>
        <w:rFonts w:ascii="Courier New" w:hAnsi="Courier New" w:cs="Courier New" w:hint="default"/>
      </w:rPr>
    </w:lvl>
    <w:lvl w:ilvl="2" w:tplc="40090005">
      <w:start w:val="1"/>
      <w:numFmt w:val="bullet"/>
      <w:lvlText w:val=""/>
      <w:lvlJc w:val="left"/>
      <w:pPr>
        <w:ind w:left="2580" w:hanging="360"/>
      </w:pPr>
      <w:rPr>
        <w:rFonts w:ascii="Wingdings" w:hAnsi="Wingdings" w:hint="default"/>
      </w:rPr>
    </w:lvl>
    <w:lvl w:ilvl="3" w:tplc="40090001" w:tentative="1">
      <w:start w:val="1"/>
      <w:numFmt w:val="bullet"/>
      <w:lvlText w:val=""/>
      <w:lvlJc w:val="left"/>
      <w:pPr>
        <w:ind w:left="3300" w:hanging="360"/>
      </w:pPr>
      <w:rPr>
        <w:rFonts w:ascii="Symbol" w:hAnsi="Symbol" w:hint="default"/>
      </w:rPr>
    </w:lvl>
    <w:lvl w:ilvl="4" w:tplc="40090003" w:tentative="1">
      <w:start w:val="1"/>
      <w:numFmt w:val="bullet"/>
      <w:lvlText w:val="o"/>
      <w:lvlJc w:val="left"/>
      <w:pPr>
        <w:ind w:left="4020" w:hanging="360"/>
      </w:pPr>
      <w:rPr>
        <w:rFonts w:ascii="Courier New" w:hAnsi="Courier New" w:cs="Courier New" w:hint="default"/>
      </w:rPr>
    </w:lvl>
    <w:lvl w:ilvl="5" w:tplc="40090005" w:tentative="1">
      <w:start w:val="1"/>
      <w:numFmt w:val="bullet"/>
      <w:lvlText w:val=""/>
      <w:lvlJc w:val="left"/>
      <w:pPr>
        <w:ind w:left="4740" w:hanging="360"/>
      </w:pPr>
      <w:rPr>
        <w:rFonts w:ascii="Wingdings" w:hAnsi="Wingdings" w:hint="default"/>
      </w:rPr>
    </w:lvl>
    <w:lvl w:ilvl="6" w:tplc="40090001" w:tentative="1">
      <w:start w:val="1"/>
      <w:numFmt w:val="bullet"/>
      <w:lvlText w:val=""/>
      <w:lvlJc w:val="left"/>
      <w:pPr>
        <w:ind w:left="5460" w:hanging="360"/>
      </w:pPr>
      <w:rPr>
        <w:rFonts w:ascii="Symbol" w:hAnsi="Symbol" w:hint="default"/>
      </w:rPr>
    </w:lvl>
    <w:lvl w:ilvl="7" w:tplc="40090003" w:tentative="1">
      <w:start w:val="1"/>
      <w:numFmt w:val="bullet"/>
      <w:lvlText w:val="o"/>
      <w:lvlJc w:val="left"/>
      <w:pPr>
        <w:ind w:left="6180" w:hanging="360"/>
      </w:pPr>
      <w:rPr>
        <w:rFonts w:ascii="Courier New" w:hAnsi="Courier New" w:cs="Courier New" w:hint="default"/>
      </w:rPr>
    </w:lvl>
    <w:lvl w:ilvl="8" w:tplc="40090005" w:tentative="1">
      <w:start w:val="1"/>
      <w:numFmt w:val="bullet"/>
      <w:lvlText w:val=""/>
      <w:lvlJc w:val="left"/>
      <w:pPr>
        <w:ind w:left="6900" w:hanging="360"/>
      </w:pPr>
      <w:rPr>
        <w:rFonts w:ascii="Wingdings" w:hAnsi="Wingdings" w:hint="default"/>
      </w:rPr>
    </w:lvl>
  </w:abstractNum>
  <w:abstractNum w:abstractNumId="8" w15:restartNumberingAfterBreak="0">
    <w:nsid w:val="21AE4615"/>
    <w:multiLevelType w:val="hybridMultilevel"/>
    <w:tmpl w:val="14069F48"/>
    <w:lvl w:ilvl="0" w:tplc="2BFE28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52232"/>
    <w:multiLevelType w:val="hybridMultilevel"/>
    <w:tmpl w:val="23A0392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5253C0F"/>
    <w:multiLevelType w:val="hybridMultilevel"/>
    <w:tmpl w:val="8B06D6E2"/>
    <w:lvl w:ilvl="0" w:tplc="058403E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18" w15:restartNumberingAfterBreak="0">
    <w:nsid w:val="5FC54E20"/>
    <w:multiLevelType w:val="hybridMultilevel"/>
    <w:tmpl w:val="AB36D324"/>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6662FDB"/>
    <w:multiLevelType w:val="hybridMultilevel"/>
    <w:tmpl w:val="2760F7C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6B2A6769"/>
    <w:multiLevelType w:val="hybridMultilevel"/>
    <w:tmpl w:val="07106D3A"/>
    <w:lvl w:ilvl="0" w:tplc="52981FD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4540E1D"/>
    <w:multiLevelType w:val="multilevel"/>
    <w:tmpl w:val="2C588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3"/>
  </w:num>
  <w:num w:numId="7">
    <w:abstractNumId w:val="14"/>
  </w:num>
  <w:num w:numId="8">
    <w:abstractNumId w:val="17"/>
  </w:num>
  <w:num w:numId="9">
    <w:abstractNumId w:val="21"/>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9"/>
  </w:num>
  <w:num w:numId="14">
    <w:abstractNumId w:val="3"/>
  </w:num>
  <w:num w:numId="15">
    <w:abstractNumId w:val="9"/>
  </w:num>
  <w:num w:numId="16">
    <w:abstractNumId w:val="16"/>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
  </w:num>
  <w:num w:numId="20">
    <w:abstractNumId w:val="20"/>
  </w:num>
  <w:num w:numId="21">
    <w:abstractNumId w:val="15"/>
  </w:num>
  <w:num w:numId="22">
    <w:abstractNumId w:val="10"/>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NzMyMTUzMTIwMTZX0lEKTi0uzszPAykwrAUAIP8oUSwAAAA="/>
  </w:docVars>
  <w:rsids>
    <w:rsidRoot w:val="000B7BCF"/>
    <w:rsid w:val="00006C10"/>
    <w:rsid w:val="00016557"/>
    <w:rsid w:val="00017B11"/>
    <w:rsid w:val="00021936"/>
    <w:rsid w:val="00021BFE"/>
    <w:rsid w:val="00022529"/>
    <w:rsid w:val="00023C40"/>
    <w:rsid w:val="00032DD7"/>
    <w:rsid w:val="00033397"/>
    <w:rsid w:val="00035C07"/>
    <w:rsid w:val="00036714"/>
    <w:rsid w:val="00040095"/>
    <w:rsid w:val="00040479"/>
    <w:rsid w:val="00057C9C"/>
    <w:rsid w:val="00063D6D"/>
    <w:rsid w:val="00065268"/>
    <w:rsid w:val="000671A1"/>
    <w:rsid w:val="00071B9B"/>
    <w:rsid w:val="0007342F"/>
    <w:rsid w:val="00073C9C"/>
    <w:rsid w:val="00076412"/>
    <w:rsid w:val="00080512"/>
    <w:rsid w:val="000855EF"/>
    <w:rsid w:val="000870C7"/>
    <w:rsid w:val="00090468"/>
    <w:rsid w:val="00091671"/>
    <w:rsid w:val="00094568"/>
    <w:rsid w:val="000A1A66"/>
    <w:rsid w:val="000A5D0B"/>
    <w:rsid w:val="000B01B7"/>
    <w:rsid w:val="000B7BCF"/>
    <w:rsid w:val="000C14CD"/>
    <w:rsid w:val="000C522B"/>
    <w:rsid w:val="000D58AB"/>
    <w:rsid w:val="00111799"/>
    <w:rsid w:val="00112F1A"/>
    <w:rsid w:val="00145075"/>
    <w:rsid w:val="00147174"/>
    <w:rsid w:val="0016137A"/>
    <w:rsid w:val="001741A0"/>
    <w:rsid w:val="001754F3"/>
    <w:rsid w:val="00175FA0"/>
    <w:rsid w:val="0018780E"/>
    <w:rsid w:val="00194CD0"/>
    <w:rsid w:val="001B031B"/>
    <w:rsid w:val="001B04C6"/>
    <w:rsid w:val="001B49C9"/>
    <w:rsid w:val="001B6BFA"/>
    <w:rsid w:val="001C23F4"/>
    <w:rsid w:val="001C4F79"/>
    <w:rsid w:val="001C7CBD"/>
    <w:rsid w:val="001F168B"/>
    <w:rsid w:val="001F7831"/>
    <w:rsid w:val="00204045"/>
    <w:rsid w:val="0020712B"/>
    <w:rsid w:val="0021042A"/>
    <w:rsid w:val="0021652D"/>
    <w:rsid w:val="002211D1"/>
    <w:rsid w:val="0022214C"/>
    <w:rsid w:val="0022606D"/>
    <w:rsid w:val="00231728"/>
    <w:rsid w:val="00236B65"/>
    <w:rsid w:val="00244A05"/>
    <w:rsid w:val="00250404"/>
    <w:rsid w:val="00253708"/>
    <w:rsid w:val="00256B74"/>
    <w:rsid w:val="002610D8"/>
    <w:rsid w:val="002728F8"/>
    <w:rsid w:val="002747EC"/>
    <w:rsid w:val="002855BF"/>
    <w:rsid w:val="00287130"/>
    <w:rsid w:val="00287FC4"/>
    <w:rsid w:val="002969CA"/>
    <w:rsid w:val="002A712B"/>
    <w:rsid w:val="002B2988"/>
    <w:rsid w:val="002C32CE"/>
    <w:rsid w:val="002C42B0"/>
    <w:rsid w:val="002C61AF"/>
    <w:rsid w:val="002E0A86"/>
    <w:rsid w:val="002F0D22"/>
    <w:rsid w:val="00311B17"/>
    <w:rsid w:val="00312A4B"/>
    <w:rsid w:val="003172DC"/>
    <w:rsid w:val="00325AE3"/>
    <w:rsid w:val="00326069"/>
    <w:rsid w:val="00327CD1"/>
    <w:rsid w:val="0035462D"/>
    <w:rsid w:val="0036459E"/>
    <w:rsid w:val="00364B41"/>
    <w:rsid w:val="003724CF"/>
    <w:rsid w:val="00376C2D"/>
    <w:rsid w:val="00383096"/>
    <w:rsid w:val="003856F7"/>
    <w:rsid w:val="0039346C"/>
    <w:rsid w:val="003958F9"/>
    <w:rsid w:val="003A41EF"/>
    <w:rsid w:val="003B40AD"/>
    <w:rsid w:val="003C4E37"/>
    <w:rsid w:val="003C6AEA"/>
    <w:rsid w:val="003D5086"/>
    <w:rsid w:val="003E063A"/>
    <w:rsid w:val="003E16BE"/>
    <w:rsid w:val="003F150F"/>
    <w:rsid w:val="003F4A97"/>
    <w:rsid w:val="003F4E28"/>
    <w:rsid w:val="003F531B"/>
    <w:rsid w:val="004006E8"/>
    <w:rsid w:val="00401855"/>
    <w:rsid w:val="004144C3"/>
    <w:rsid w:val="00420D0C"/>
    <w:rsid w:val="00420FDA"/>
    <w:rsid w:val="00434D2D"/>
    <w:rsid w:val="00446C3A"/>
    <w:rsid w:val="00465587"/>
    <w:rsid w:val="00473DDE"/>
    <w:rsid w:val="00477455"/>
    <w:rsid w:val="00482E31"/>
    <w:rsid w:val="00485475"/>
    <w:rsid w:val="004A1F7B"/>
    <w:rsid w:val="004C03FB"/>
    <w:rsid w:val="004C44D2"/>
    <w:rsid w:val="004C4FDA"/>
    <w:rsid w:val="004D0FA2"/>
    <w:rsid w:val="004D3578"/>
    <w:rsid w:val="004D380D"/>
    <w:rsid w:val="004E213A"/>
    <w:rsid w:val="004E3B59"/>
    <w:rsid w:val="004F1151"/>
    <w:rsid w:val="004F4540"/>
    <w:rsid w:val="004F73A7"/>
    <w:rsid w:val="00503171"/>
    <w:rsid w:val="00503682"/>
    <w:rsid w:val="00506C28"/>
    <w:rsid w:val="005130E9"/>
    <w:rsid w:val="005174D0"/>
    <w:rsid w:val="005252F6"/>
    <w:rsid w:val="00534DA0"/>
    <w:rsid w:val="00543870"/>
    <w:rsid w:val="00543E6C"/>
    <w:rsid w:val="00565087"/>
    <w:rsid w:val="0056573F"/>
    <w:rsid w:val="00571279"/>
    <w:rsid w:val="005A13AB"/>
    <w:rsid w:val="005A49C6"/>
    <w:rsid w:val="005C766E"/>
    <w:rsid w:val="005C7CD5"/>
    <w:rsid w:val="005D4EC0"/>
    <w:rsid w:val="005E58F5"/>
    <w:rsid w:val="005F2708"/>
    <w:rsid w:val="00611566"/>
    <w:rsid w:val="00627968"/>
    <w:rsid w:val="00635C05"/>
    <w:rsid w:val="00643682"/>
    <w:rsid w:val="00646D99"/>
    <w:rsid w:val="00647131"/>
    <w:rsid w:val="00656910"/>
    <w:rsid w:val="006574C0"/>
    <w:rsid w:val="00667186"/>
    <w:rsid w:val="00673C86"/>
    <w:rsid w:val="00696821"/>
    <w:rsid w:val="00697D84"/>
    <w:rsid w:val="006B0384"/>
    <w:rsid w:val="006C0DC2"/>
    <w:rsid w:val="006C1C72"/>
    <w:rsid w:val="006C66D8"/>
    <w:rsid w:val="006D1E24"/>
    <w:rsid w:val="006D35DE"/>
    <w:rsid w:val="006E1057"/>
    <w:rsid w:val="006E1417"/>
    <w:rsid w:val="006F0E6B"/>
    <w:rsid w:val="006F6A2C"/>
    <w:rsid w:val="0070374F"/>
    <w:rsid w:val="0070635B"/>
    <w:rsid w:val="007069DC"/>
    <w:rsid w:val="00710201"/>
    <w:rsid w:val="0071158D"/>
    <w:rsid w:val="00717AE6"/>
    <w:rsid w:val="007200A2"/>
    <w:rsid w:val="0072073A"/>
    <w:rsid w:val="00726DC0"/>
    <w:rsid w:val="007342B5"/>
    <w:rsid w:val="00734A5B"/>
    <w:rsid w:val="00744E76"/>
    <w:rsid w:val="00757D40"/>
    <w:rsid w:val="007662B5"/>
    <w:rsid w:val="007777BE"/>
    <w:rsid w:val="00781F0F"/>
    <w:rsid w:val="0078727C"/>
    <w:rsid w:val="0079049D"/>
    <w:rsid w:val="00793DC5"/>
    <w:rsid w:val="00796823"/>
    <w:rsid w:val="007A2E55"/>
    <w:rsid w:val="007B18D8"/>
    <w:rsid w:val="007B5E73"/>
    <w:rsid w:val="007C095F"/>
    <w:rsid w:val="007C2DD0"/>
    <w:rsid w:val="007F2E08"/>
    <w:rsid w:val="007F6D87"/>
    <w:rsid w:val="007F7B5D"/>
    <w:rsid w:val="008024FA"/>
    <w:rsid w:val="008028A4"/>
    <w:rsid w:val="008051EF"/>
    <w:rsid w:val="00813245"/>
    <w:rsid w:val="0083081F"/>
    <w:rsid w:val="00840DE0"/>
    <w:rsid w:val="00847CD0"/>
    <w:rsid w:val="008607A8"/>
    <w:rsid w:val="0086354A"/>
    <w:rsid w:val="008768CA"/>
    <w:rsid w:val="00877EF9"/>
    <w:rsid w:val="00880559"/>
    <w:rsid w:val="00892986"/>
    <w:rsid w:val="00894962"/>
    <w:rsid w:val="008B5306"/>
    <w:rsid w:val="008B54E8"/>
    <w:rsid w:val="008C2E2A"/>
    <w:rsid w:val="008C3057"/>
    <w:rsid w:val="008C7464"/>
    <w:rsid w:val="008D2E4D"/>
    <w:rsid w:val="008D5086"/>
    <w:rsid w:val="008E43EE"/>
    <w:rsid w:val="008F396F"/>
    <w:rsid w:val="008F3DCD"/>
    <w:rsid w:val="009017FC"/>
    <w:rsid w:val="0090271F"/>
    <w:rsid w:val="00902DB9"/>
    <w:rsid w:val="0090466A"/>
    <w:rsid w:val="00905065"/>
    <w:rsid w:val="00923655"/>
    <w:rsid w:val="00927672"/>
    <w:rsid w:val="009339CB"/>
    <w:rsid w:val="00936071"/>
    <w:rsid w:val="009376CD"/>
    <w:rsid w:val="00937F16"/>
    <w:rsid w:val="00940212"/>
    <w:rsid w:val="00942EC2"/>
    <w:rsid w:val="00961B32"/>
    <w:rsid w:val="00962509"/>
    <w:rsid w:val="00962704"/>
    <w:rsid w:val="009657F7"/>
    <w:rsid w:val="00970DB3"/>
    <w:rsid w:val="00974BB0"/>
    <w:rsid w:val="00975BCD"/>
    <w:rsid w:val="009928A9"/>
    <w:rsid w:val="00993DAE"/>
    <w:rsid w:val="009A0AF3"/>
    <w:rsid w:val="009A316E"/>
    <w:rsid w:val="009B07CD"/>
    <w:rsid w:val="009B1F20"/>
    <w:rsid w:val="009C19E9"/>
    <w:rsid w:val="009D116C"/>
    <w:rsid w:val="009D1DE3"/>
    <w:rsid w:val="009D74A6"/>
    <w:rsid w:val="009E021D"/>
    <w:rsid w:val="009E0E87"/>
    <w:rsid w:val="009E1C67"/>
    <w:rsid w:val="00A10F02"/>
    <w:rsid w:val="00A17176"/>
    <w:rsid w:val="00A204CA"/>
    <w:rsid w:val="00A209D6"/>
    <w:rsid w:val="00A22738"/>
    <w:rsid w:val="00A24D46"/>
    <w:rsid w:val="00A337B3"/>
    <w:rsid w:val="00A36F5F"/>
    <w:rsid w:val="00A42368"/>
    <w:rsid w:val="00A430EC"/>
    <w:rsid w:val="00A53724"/>
    <w:rsid w:val="00A54B2B"/>
    <w:rsid w:val="00A54F05"/>
    <w:rsid w:val="00A62134"/>
    <w:rsid w:val="00A65AB0"/>
    <w:rsid w:val="00A677D8"/>
    <w:rsid w:val="00A703B6"/>
    <w:rsid w:val="00A82346"/>
    <w:rsid w:val="00A82887"/>
    <w:rsid w:val="00A96014"/>
    <w:rsid w:val="00A9671C"/>
    <w:rsid w:val="00AA1553"/>
    <w:rsid w:val="00AB20BC"/>
    <w:rsid w:val="00AB778A"/>
    <w:rsid w:val="00AD153D"/>
    <w:rsid w:val="00AD2A32"/>
    <w:rsid w:val="00AE2BBB"/>
    <w:rsid w:val="00AE2BD0"/>
    <w:rsid w:val="00AE7481"/>
    <w:rsid w:val="00B036F4"/>
    <w:rsid w:val="00B05380"/>
    <w:rsid w:val="00B05962"/>
    <w:rsid w:val="00B15449"/>
    <w:rsid w:val="00B16C2F"/>
    <w:rsid w:val="00B27303"/>
    <w:rsid w:val="00B36A4A"/>
    <w:rsid w:val="00B47FD1"/>
    <w:rsid w:val="00B516BB"/>
    <w:rsid w:val="00B635A2"/>
    <w:rsid w:val="00B7538C"/>
    <w:rsid w:val="00B84DB2"/>
    <w:rsid w:val="00B90C2F"/>
    <w:rsid w:val="00BB61F7"/>
    <w:rsid w:val="00BC33A8"/>
    <w:rsid w:val="00BC3555"/>
    <w:rsid w:val="00BF2D69"/>
    <w:rsid w:val="00BF3BC3"/>
    <w:rsid w:val="00C105A2"/>
    <w:rsid w:val="00C11B72"/>
    <w:rsid w:val="00C12B51"/>
    <w:rsid w:val="00C24650"/>
    <w:rsid w:val="00C25465"/>
    <w:rsid w:val="00C33079"/>
    <w:rsid w:val="00C4407D"/>
    <w:rsid w:val="00C55A12"/>
    <w:rsid w:val="00C60F47"/>
    <w:rsid w:val="00C6553E"/>
    <w:rsid w:val="00C7593B"/>
    <w:rsid w:val="00C83A13"/>
    <w:rsid w:val="00C86F10"/>
    <w:rsid w:val="00C9068C"/>
    <w:rsid w:val="00C92967"/>
    <w:rsid w:val="00C97AD1"/>
    <w:rsid w:val="00CA3D0C"/>
    <w:rsid w:val="00CA654B"/>
    <w:rsid w:val="00CB72B8"/>
    <w:rsid w:val="00CC3A9C"/>
    <w:rsid w:val="00CC6339"/>
    <w:rsid w:val="00CD0BA8"/>
    <w:rsid w:val="00CD4C7B"/>
    <w:rsid w:val="00CD58FE"/>
    <w:rsid w:val="00CF3C0B"/>
    <w:rsid w:val="00D066F2"/>
    <w:rsid w:val="00D15D84"/>
    <w:rsid w:val="00D33BE3"/>
    <w:rsid w:val="00D3792D"/>
    <w:rsid w:val="00D422A1"/>
    <w:rsid w:val="00D55E47"/>
    <w:rsid w:val="00D62E19"/>
    <w:rsid w:val="00D67CD1"/>
    <w:rsid w:val="00D738D6"/>
    <w:rsid w:val="00D80795"/>
    <w:rsid w:val="00D83430"/>
    <w:rsid w:val="00D854BE"/>
    <w:rsid w:val="00D87E00"/>
    <w:rsid w:val="00D9089E"/>
    <w:rsid w:val="00D9134D"/>
    <w:rsid w:val="00D96D11"/>
    <w:rsid w:val="00DA7A03"/>
    <w:rsid w:val="00DB0DB8"/>
    <w:rsid w:val="00DB1818"/>
    <w:rsid w:val="00DC309B"/>
    <w:rsid w:val="00DC42F0"/>
    <w:rsid w:val="00DC4DA2"/>
    <w:rsid w:val="00DC5261"/>
    <w:rsid w:val="00DD29B8"/>
    <w:rsid w:val="00DD3E76"/>
    <w:rsid w:val="00DE1AE7"/>
    <w:rsid w:val="00DE25D2"/>
    <w:rsid w:val="00DE6A68"/>
    <w:rsid w:val="00DF78E4"/>
    <w:rsid w:val="00DF7C20"/>
    <w:rsid w:val="00E0734E"/>
    <w:rsid w:val="00E12486"/>
    <w:rsid w:val="00E27371"/>
    <w:rsid w:val="00E33A4B"/>
    <w:rsid w:val="00E35703"/>
    <w:rsid w:val="00E4473E"/>
    <w:rsid w:val="00E46C08"/>
    <w:rsid w:val="00E471CF"/>
    <w:rsid w:val="00E47F08"/>
    <w:rsid w:val="00E62835"/>
    <w:rsid w:val="00E74650"/>
    <w:rsid w:val="00E77645"/>
    <w:rsid w:val="00E820ED"/>
    <w:rsid w:val="00E83697"/>
    <w:rsid w:val="00E859B6"/>
    <w:rsid w:val="00E86422"/>
    <w:rsid w:val="00E922D2"/>
    <w:rsid w:val="00EA66C9"/>
    <w:rsid w:val="00EB5D32"/>
    <w:rsid w:val="00EB5DB7"/>
    <w:rsid w:val="00EC4A25"/>
    <w:rsid w:val="00EC62E5"/>
    <w:rsid w:val="00EE265E"/>
    <w:rsid w:val="00EF5A0F"/>
    <w:rsid w:val="00EF612C"/>
    <w:rsid w:val="00F025A2"/>
    <w:rsid w:val="00F036E9"/>
    <w:rsid w:val="00F07388"/>
    <w:rsid w:val="00F2026E"/>
    <w:rsid w:val="00F2210A"/>
    <w:rsid w:val="00F2433A"/>
    <w:rsid w:val="00F31372"/>
    <w:rsid w:val="00F37743"/>
    <w:rsid w:val="00F47552"/>
    <w:rsid w:val="00F54A3D"/>
    <w:rsid w:val="00F54CB0"/>
    <w:rsid w:val="00F579CD"/>
    <w:rsid w:val="00F653B8"/>
    <w:rsid w:val="00F71B89"/>
    <w:rsid w:val="00F7353C"/>
    <w:rsid w:val="00F76F8F"/>
    <w:rsid w:val="00F863EF"/>
    <w:rsid w:val="00F87257"/>
    <w:rsid w:val="00F941DF"/>
    <w:rsid w:val="00F96675"/>
    <w:rsid w:val="00FA1266"/>
    <w:rsid w:val="00FA4040"/>
    <w:rsid w:val="00FA6070"/>
    <w:rsid w:val="00FB36FA"/>
    <w:rsid w:val="00FB4F99"/>
    <w:rsid w:val="00FC1192"/>
    <w:rsid w:val="00FD1001"/>
    <w:rsid w:val="00FE106D"/>
    <w:rsid w:val="00FE251B"/>
    <w:rsid w:val="00FE3160"/>
    <w:rsid w:val="00FE7098"/>
    <w:rsid w:val="1AD20E3B"/>
    <w:rsid w:val="7D8182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5370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E6A68"/>
    <w:pPr>
      <w:ind w:left="720"/>
      <w:contextualSpacing/>
    </w:p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DE6A68"/>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E6A68"/>
    <w:rPr>
      <w:i/>
      <w:iCs/>
      <w:color w:val="44546A" w:themeColor="text2"/>
      <w:sz w:val="18"/>
      <w:szCs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E6A68"/>
    <w:rPr>
      <w:lang w:eastAsia="en-US"/>
    </w:rPr>
  </w:style>
  <w:style w:type="paragraph" w:customStyle="1" w:styleId="xxmsonormal">
    <w:name w:val="x_xmsonormal"/>
    <w:basedOn w:val="Normal"/>
    <w:rsid w:val="00287130"/>
    <w:pPr>
      <w:spacing w:before="100" w:beforeAutospacing="1" w:after="100" w:afterAutospacing="1"/>
    </w:pPr>
    <w:rPr>
      <w:rFonts w:ascii="Calibri" w:eastAsiaTheme="minorHAnsi" w:hAnsi="Calibri" w:cs="Calibri"/>
      <w:sz w:val="22"/>
      <w:szCs w:val="22"/>
      <w:lang w:val="da-DK" w:eastAsia="da-DK"/>
    </w:rPr>
  </w:style>
  <w:style w:type="table" w:styleId="TableGrid">
    <w:name w:val="Table Grid"/>
    <w:basedOn w:val="TableNormal"/>
    <w:uiPriority w:val="39"/>
    <w:rsid w:val="002C42B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40479"/>
    <w:rPr>
      <w:rFonts w:ascii="Arial" w:hAnsi="Arial"/>
      <w:sz w:val="36"/>
      <w:lang w:eastAsia="en-US"/>
    </w:rPr>
  </w:style>
  <w:style w:type="paragraph" w:styleId="Revision">
    <w:name w:val="Revision"/>
    <w:hidden/>
    <w:uiPriority w:val="99"/>
    <w:semiHidden/>
    <w:rsid w:val="00717AE6"/>
    <w:rPr>
      <w:lang w:eastAsia="en-US"/>
    </w:rPr>
  </w:style>
  <w:style w:type="character" w:styleId="CommentReference">
    <w:name w:val="annotation reference"/>
    <w:basedOn w:val="DefaultParagraphFont"/>
    <w:rsid w:val="003F150F"/>
    <w:rPr>
      <w:sz w:val="16"/>
      <w:szCs w:val="16"/>
    </w:rPr>
  </w:style>
  <w:style w:type="paragraph" w:styleId="CommentText">
    <w:name w:val="annotation text"/>
    <w:basedOn w:val="Normal"/>
    <w:link w:val="CommentTextChar"/>
    <w:rsid w:val="003F150F"/>
  </w:style>
  <w:style w:type="character" w:customStyle="1" w:styleId="CommentTextChar">
    <w:name w:val="Comment Text Char"/>
    <w:basedOn w:val="DefaultParagraphFont"/>
    <w:link w:val="CommentText"/>
    <w:rsid w:val="003F150F"/>
    <w:rPr>
      <w:lang w:eastAsia="en-US"/>
    </w:rPr>
  </w:style>
  <w:style w:type="paragraph" w:styleId="CommentSubject">
    <w:name w:val="annotation subject"/>
    <w:basedOn w:val="CommentText"/>
    <w:next w:val="CommentText"/>
    <w:link w:val="CommentSubjectChar"/>
    <w:rsid w:val="003F150F"/>
    <w:rPr>
      <w:b/>
      <w:bCs/>
    </w:rPr>
  </w:style>
  <w:style w:type="character" w:customStyle="1" w:styleId="CommentSubjectChar">
    <w:name w:val="Comment Subject Char"/>
    <w:basedOn w:val="CommentTextChar"/>
    <w:link w:val="CommentSubject"/>
    <w:rsid w:val="003F150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9984">
      <w:bodyDiv w:val="1"/>
      <w:marLeft w:val="0"/>
      <w:marRight w:val="0"/>
      <w:marTop w:val="0"/>
      <w:marBottom w:val="0"/>
      <w:divBdr>
        <w:top w:val="none" w:sz="0" w:space="0" w:color="auto"/>
        <w:left w:val="none" w:sz="0" w:space="0" w:color="auto"/>
        <w:bottom w:val="none" w:sz="0" w:space="0" w:color="auto"/>
        <w:right w:val="none" w:sz="0" w:space="0" w:color="auto"/>
      </w:divBdr>
      <w:divsChild>
        <w:div w:id="520706244">
          <w:marLeft w:val="0"/>
          <w:marRight w:val="0"/>
          <w:marTop w:val="0"/>
          <w:marBottom w:val="0"/>
          <w:divBdr>
            <w:top w:val="none" w:sz="0" w:space="0" w:color="auto"/>
            <w:left w:val="none" w:sz="0" w:space="0" w:color="auto"/>
            <w:bottom w:val="none" w:sz="0" w:space="0" w:color="auto"/>
            <w:right w:val="none" w:sz="0" w:space="0" w:color="auto"/>
          </w:divBdr>
        </w:div>
      </w:divsChild>
    </w:div>
    <w:div w:id="167405480">
      <w:bodyDiv w:val="1"/>
      <w:marLeft w:val="0"/>
      <w:marRight w:val="0"/>
      <w:marTop w:val="0"/>
      <w:marBottom w:val="0"/>
      <w:divBdr>
        <w:top w:val="none" w:sz="0" w:space="0" w:color="auto"/>
        <w:left w:val="none" w:sz="0" w:space="0" w:color="auto"/>
        <w:bottom w:val="none" w:sz="0" w:space="0" w:color="auto"/>
        <w:right w:val="none" w:sz="0" w:space="0" w:color="auto"/>
      </w:divBdr>
    </w:div>
    <w:div w:id="319817311">
      <w:bodyDiv w:val="1"/>
      <w:marLeft w:val="0"/>
      <w:marRight w:val="0"/>
      <w:marTop w:val="0"/>
      <w:marBottom w:val="0"/>
      <w:divBdr>
        <w:top w:val="none" w:sz="0" w:space="0" w:color="auto"/>
        <w:left w:val="none" w:sz="0" w:space="0" w:color="auto"/>
        <w:bottom w:val="none" w:sz="0" w:space="0" w:color="auto"/>
        <w:right w:val="none" w:sz="0" w:space="0" w:color="auto"/>
      </w:divBdr>
    </w:div>
    <w:div w:id="642199134">
      <w:bodyDiv w:val="1"/>
      <w:marLeft w:val="0"/>
      <w:marRight w:val="0"/>
      <w:marTop w:val="0"/>
      <w:marBottom w:val="0"/>
      <w:divBdr>
        <w:top w:val="none" w:sz="0" w:space="0" w:color="auto"/>
        <w:left w:val="none" w:sz="0" w:space="0" w:color="auto"/>
        <w:bottom w:val="none" w:sz="0" w:space="0" w:color="auto"/>
        <w:right w:val="none" w:sz="0" w:space="0" w:color="auto"/>
      </w:divBdr>
    </w:div>
    <w:div w:id="774833973">
      <w:bodyDiv w:val="1"/>
      <w:marLeft w:val="0"/>
      <w:marRight w:val="0"/>
      <w:marTop w:val="0"/>
      <w:marBottom w:val="0"/>
      <w:divBdr>
        <w:top w:val="none" w:sz="0" w:space="0" w:color="auto"/>
        <w:left w:val="none" w:sz="0" w:space="0" w:color="auto"/>
        <w:bottom w:val="none" w:sz="0" w:space="0" w:color="auto"/>
        <w:right w:val="none" w:sz="0" w:space="0" w:color="auto"/>
      </w:divBdr>
    </w:div>
    <w:div w:id="8280540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945676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1616508">
      <w:bodyDiv w:val="1"/>
      <w:marLeft w:val="0"/>
      <w:marRight w:val="0"/>
      <w:marTop w:val="0"/>
      <w:marBottom w:val="0"/>
      <w:divBdr>
        <w:top w:val="none" w:sz="0" w:space="0" w:color="auto"/>
        <w:left w:val="none" w:sz="0" w:space="0" w:color="auto"/>
        <w:bottom w:val="none" w:sz="0" w:space="0" w:color="auto"/>
        <w:right w:val="none" w:sz="0" w:space="0" w:color="auto"/>
      </w:divBdr>
    </w:div>
    <w:div w:id="1963343404">
      <w:bodyDiv w:val="1"/>
      <w:marLeft w:val="0"/>
      <w:marRight w:val="0"/>
      <w:marTop w:val="0"/>
      <w:marBottom w:val="0"/>
      <w:divBdr>
        <w:top w:val="none" w:sz="0" w:space="0" w:color="auto"/>
        <w:left w:val="none" w:sz="0" w:space="0" w:color="auto"/>
        <w:bottom w:val="none" w:sz="0" w:space="0" w:color="auto"/>
        <w:right w:val="none" w:sz="0" w:space="0" w:color="auto"/>
      </w:divBdr>
    </w:div>
    <w:div w:id="2105301419">
      <w:bodyDiv w:val="1"/>
      <w:marLeft w:val="0"/>
      <w:marRight w:val="0"/>
      <w:marTop w:val="0"/>
      <w:marBottom w:val="0"/>
      <w:divBdr>
        <w:top w:val="none" w:sz="0" w:space="0" w:color="auto"/>
        <w:left w:val="none" w:sz="0" w:space="0" w:color="auto"/>
        <w:bottom w:val="none" w:sz="0" w:space="0" w:color="auto"/>
        <w:right w:val="none" w:sz="0" w:space="0" w:color="auto"/>
      </w:divBdr>
      <w:divsChild>
        <w:div w:id="259142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5AIRPNAIUNRU-859666464-12933</_dlc_DocId>
    <_dlc_DocIdUrl xmlns="71c5aaf6-e6ce-465b-b873-5148d2a4c105">
      <Url>https://nokia.sharepoint.com/sites/c5g/e2earch/_layouts/15/DocIdRedir.aspx?ID=5AIRPNAIUNRU-859666464-12933</Url>
      <Description>5AIRPNAIUNRU-859666464-12933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BAE686D-1528-4914-8269-DE3E0D0AF791}">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5</Pages>
  <Words>2317</Words>
  <Characters>13208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139</cp:revision>
  <dcterms:created xsi:type="dcterms:W3CDTF">2022-10-28T11:03:00Z</dcterms:created>
  <dcterms:modified xsi:type="dcterms:W3CDTF">2022-11-03T21:10:00Z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4cb0a556-9277-4a94-b237-7d6b6b624c5a</vt:lpwstr>
  </property>
</Properties>
</file>